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54" w:rsidRDefault="00C14B23" w:rsidP="00DA03DE">
      <w:pPr>
        <w:jc w:val="center"/>
        <w:rPr>
          <w:b/>
          <w:sz w:val="28"/>
          <w:szCs w:val="28"/>
          <w:lang w:val="uk-UA"/>
        </w:rPr>
      </w:pPr>
      <w:r w:rsidRPr="00A62A43">
        <w:rPr>
          <w:b/>
          <w:sz w:val="28"/>
          <w:szCs w:val="28"/>
        </w:rPr>
        <w:t>В</w:t>
      </w:r>
      <w:r>
        <w:rPr>
          <w:b/>
          <w:sz w:val="28"/>
          <w:szCs w:val="28"/>
          <w:lang w:val="uk-UA"/>
        </w:rPr>
        <w:t>ИД</w:t>
      </w:r>
      <w:r w:rsidRPr="00BB56E8">
        <w:rPr>
          <w:b/>
          <w:sz w:val="28"/>
          <w:szCs w:val="28"/>
          <w:lang w:val="uk-UA"/>
        </w:rPr>
        <w:t xml:space="preserve">АЧА ВИСНОВКУ ДЛЯ СУДУ ПРО </w:t>
      </w:r>
    </w:p>
    <w:p w:rsidR="00C14B23" w:rsidRPr="00BB56E8" w:rsidRDefault="00E42B54" w:rsidP="00DA03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ДОЦІЛЬНІСТЬ/</w:t>
      </w:r>
      <w:r w:rsidR="00C14B23" w:rsidRPr="00BB56E8">
        <w:rPr>
          <w:b/>
          <w:sz w:val="28"/>
          <w:szCs w:val="28"/>
          <w:lang w:val="uk-UA"/>
        </w:rPr>
        <w:t>НЕДОЦІЛЬНІСТЬ ПОНОВЛЕННЯ БАТЬКІВСЬКИХ  ПРАВ ГРОМАДЯН</w:t>
      </w:r>
    </w:p>
    <w:p w:rsidR="00C14B23" w:rsidRPr="00BB56E8" w:rsidRDefault="00C14B23" w:rsidP="00C14B23">
      <w:pPr>
        <w:jc w:val="center"/>
        <w:rPr>
          <w:b/>
          <w:sz w:val="28"/>
          <w:szCs w:val="28"/>
          <w:lang w:val="uk-UA"/>
        </w:rPr>
      </w:pPr>
    </w:p>
    <w:p w:rsidR="00C14B23" w:rsidRPr="00BB56E8" w:rsidRDefault="00C14B23" w:rsidP="00DA03DE">
      <w:pPr>
        <w:ind w:firstLine="567"/>
        <w:jc w:val="both"/>
        <w:rPr>
          <w:sz w:val="28"/>
          <w:szCs w:val="28"/>
          <w:lang w:val="uk-UA"/>
        </w:rPr>
      </w:pPr>
      <w:r w:rsidRPr="00BB56E8">
        <w:rPr>
          <w:b/>
          <w:sz w:val="28"/>
          <w:szCs w:val="28"/>
          <w:lang w:val="uk-UA"/>
        </w:rPr>
        <w:t>Процедура розгляду питання:</w:t>
      </w:r>
      <w:r w:rsidRPr="00BB56E8">
        <w:rPr>
          <w:sz w:val="28"/>
          <w:szCs w:val="28"/>
          <w:lang w:val="uk-UA"/>
        </w:rPr>
        <w:t xml:space="preserve"> Справи про поновлення батьківських прав розглядаються виключно судом (за підсудністю справ відповідно до Цивільно</w:t>
      </w:r>
      <w:r w:rsidR="00DA03DE" w:rsidRPr="00BB56E8">
        <w:rPr>
          <w:sz w:val="28"/>
          <w:szCs w:val="28"/>
          <w:lang w:val="uk-UA"/>
        </w:rPr>
        <w:t xml:space="preserve">го </w:t>
      </w:r>
      <w:r w:rsidRPr="00BB56E8">
        <w:rPr>
          <w:sz w:val="28"/>
          <w:szCs w:val="28"/>
          <w:lang w:val="uk-UA"/>
        </w:rPr>
        <w:t>процесуального кодексу України). Комісія з питань захисту прав дитини при виконавчому комітеті Кременчуцької міської ради</w:t>
      </w:r>
      <w:r w:rsidR="00E42B54">
        <w:rPr>
          <w:sz w:val="28"/>
          <w:szCs w:val="28"/>
          <w:lang w:val="uk-UA"/>
        </w:rPr>
        <w:t xml:space="preserve"> </w:t>
      </w:r>
      <w:r w:rsidR="00DA03DE" w:rsidRPr="00BB56E8">
        <w:rPr>
          <w:sz w:val="28"/>
          <w:szCs w:val="28"/>
          <w:lang w:val="uk-UA"/>
        </w:rPr>
        <w:t>Кременчуцького району</w:t>
      </w:r>
      <w:r w:rsidR="00E42B54">
        <w:rPr>
          <w:sz w:val="28"/>
          <w:szCs w:val="28"/>
          <w:lang w:val="uk-UA"/>
        </w:rPr>
        <w:t xml:space="preserve"> </w:t>
      </w:r>
      <w:r w:rsidR="00DA03DE" w:rsidRPr="00BB56E8">
        <w:rPr>
          <w:sz w:val="28"/>
          <w:szCs w:val="28"/>
          <w:lang w:val="uk-UA"/>
        </w:rPr>
        <w:t xml:space="preserve">Полтавської області </w:t>
      </w:r>
      <w:r w:rsidRPr="00BB56E8">
        <w:rPr>
          <w:sz w:val="28"/>
          <w:szCs w:val="28"/>
          <w:lang w:val="uk-UA"/>
        </w:rPr>
        <w:t xml:space="preserve">надає органу опіки та піклування виконавчого комітету Кременчуцької міської ради  </w:t>
      </w:r>
      <w:r w:rsidR="00DA03DE" w:rsidRPr="00BB56E8">
        <w:rPr>
          <w:sz w:val="28"/>
          <w:szCs w:val="28"/>
          <w:lang w:val="uk-UA"/>
        </w:rPr>
        <w:t>Кременчуцького району</w:t>
      </w:r>
      <w:r w:rsidR="00E42B54">
        <w:rPr>
          <w:sz w:val="28"/>
          <w:szCs w:val="28"/>
          <w:lang w:val="uk-UA"/>
        </w:rPr>
        <w:t xml:space="preserve"> </w:t>
      </w:r>
      <w:r w:rsidRPr="00BB56E8">
        <w:rPr>
          <w:sz w:val="28"/>
          <w:szCs w:val="28"/>
          <w:lang w:val="uk-UA"/>
        </w:rPr>
        <w:t xml:space="preserve">Полтавської області рекомендацію </w:t>
      </w:r>
      <w:r w:rsidR="00DA03DE" w:rsidRPr="00BB56E8">
        <w:rPr>
          <w:sz w:val="28"/>
          <w:szCs w:val="28"/>
          <w:lang w:val="uk-UA"/>
        </w:rPr>
        <w:t>щодо прийняття відповідного висновку, який в подальшому подається на розгляд суду</w:t>
      </w:r>
      <w:r w:rsidRPr="00BB56E8">
        <w:rPr>
          <w:sz w:val="28"/>
          <w:szCs w:val="28"/>
          <w:lang w:val="uk-UA"/>
        </w:rPr>
        <w:t>.</w:t>
      </w:r>
    </w:p>
    <w:p w:rsidR="00C14B23" w:rsidRPr="00BB56E8" w:rsidRDefault="00C14B23" w:rsidP="00C14B23">
      <w:pPr>
        <w:ind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Висновок надається згідно ухвали суду про відкриття провадження по цивільній справі за позовом одного з батьків, який позбавлений батьківських прав.</w:t>
      </w:r>
    </w:p>
    <w:p w:rsidR="00C14B23" w:rsidRPr="00BB56E8" w:rsidRDefault="00C14B23" w:rsidP="00C14B23">
      <w:pPr>
        <w:pStyle w:val="a3"/>
        <w:rPr>
          <w:sz w:val="28"/>
          <w:szCs w:val="28"/>
          <w:lang w:val="uk-UA"/>
        </w:rPr>
      </w:pPr>
      <w:bookmarkStart w:id="0" w:name="_GoBack"/>
      <w:bookmarkEnd w:id="0"/>
      <w:r w:rsidRPr="00BB56E8">
        <w:rPr>
          <w:sz w:val="28"/>
          <w:szCs w:val="28"/>
          <w:lang w:val="uk-UA"/>
        </w:rPr>
        <w:t>Перелік  необхідних документів: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Ухвала суду про відкриття провадження по цивільній справі про поновлення батьківських прав (надається позивачем).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Пояснення одного з батьків чи обох батьків про поновлення батьківських прав.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Копія паспорта заявника.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Довідка про реєстрацію місця проживання (перебування) того з батьків, який поновлюється у батьківських правах.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Копія свідоцтва про народження дитини.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Характеристика батьків дитини з місця роботи чи проживання.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Довідка про доходи або декларація, довідка з місця роботи.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Інформація про зміну поведінки особи, позбавленої батьківських прав, та</w:t>
      </w:r>
      <w:r w:rsidR="00E42B54">
        <w:rPr>
          <w:sz w:val="28"/>
          <w:szCs w:val="28"/>
          <w:lang w:val="uk-UA"/>
        </w:rPr>
        <w:t xml:space="preserve"> про зникнення</w:t>
      </w:r>
      <w:r w:rsidRPr="00BB56E8">
        <w:rPr>
          <w:sz w:val="28"/>
          <w:szCs w:val="28"/>
          <w:lang w:val="uk-UA"/>
        </w:rPr>
        <w:t xml:space="preserve"> обставин, що були підставою для позбавлення батьківських прав, у тому числі свідчення сусідів, родичів (що були подані позивачем до суду</w:t>
      </w:r>
      <w:r w:rsidR="0062667C" w:rsidRPr="00BB56E8">
        <w:rPr>
          <w:sz w:val="28"/>
          <w:szCs w:val="28"/>
          <w:lang w:val="uk-UA"/>
        </w:rPr>
        <w:t>)</w:t>
      </w:r>
      <w:r w:rsidRPr="00BB56E8">
        <w:rPr>
          <w:sz w:val="28"/>
          <w:szCs w:val="28"/>
          <w:lang w:val="uk-UA"/>
        </w:rPr>
        <w:t>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Зафіксована думка осіб, з ким проживає дитин</w:t>
      </w:r>
      <w:r w:rsidR="0062667C" w:rsidRPr="00BB56E8">
        <w:rPr>
          <w:sz w:val="28"/>
          <w:szCs w:val="28"/>
          <w:lang w:val="uk-UA"/>
        </w:rPr>
        <w:t>а</w:t>
      </w:r>
      <w:r w:rsidRPr="00BB56E8">
        <w:rPr>
          <w:sz w:val="28"/>
          <w:szCs w:val="28"/>
          <w:lang w:val="uk-UA"/>
        </w:rPr>
        <w:t xml:space="preserve"> (другий з батьків, опікун/піклувальник).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Зафіксована думка дитини.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Характеристика від дільничного інспектора міліції (в разі повернення батьків з місць позбавлення волі).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Характеристика дитини з місця навчання.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Висновок за результатами оцінки потреб дитини та її сім’ї, інформація про здійснення соціального супроводу сім’ї, у разі здійснення такого супроводу (надається центром цільних служб для сім’ї, дітей та молоді).</w:t>
      </w:r>
    </w:p>
    <w:p w:rsidR="00C14B23" w:rsidRPr="00BB56E8" w:rsidRDefault="00C14B23" w:rsidP="00C14B2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Інші документи, які підтверджують зникнення обставин щодо неможливості виконання батьками своїх обов'язків.</w:t>
      </w:r>
    </w:p>
    <w:p w:rsidR="00C14B23" w:rsidRPr="00BB56E8" w:rsidRDefault="00C14B23" w:rsidP="00C14B23">
      <w:pPr>
        <w:pStyle w:val="a3"/>
        <w:rPr>
          <w:b/>
          <w:sz w:val="28"/>
          <w:szCs w:val="28"/>
          <w:lang w:val="uk-UA"/>
        </w:rPr>
      </w:pPr>
      <w:r w:rsidRPr="00BB56E8">
        <w:rPr>
          <w:b/>
          <w:sz w:val="28"/>
          <w:szCs w:val="28"/>
          <w:lang w:val="uk-UA"/>
        </w:rPr>
        <w:lastRenderedPageBreak/>
        <w:t>Порядок розгляду:</w:t>
      </w:r>
    </w:p>
    <w:p w:rsidR="00C14B23" w:rsidRPr="00BB56E8" w:rsidRDefault="00C14B23" w:rsidP="00C14B2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Прийом документів.</w:t>
      </w:r>
    </w:p>
    <w:p w:rsidR="00C14B23" w:rsidRPr="00BB56E8" w:rsidRDefault="00C14B23" w:rsidP="00C14B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>Обстеження умов проживання того з батьків, хто поновлюється в батьківських правах.</w:t>
      </w:r>
    </w:p>
    <w:p w:rsidR="00C14B23" w:rsidRPr="00BB56E8" w:rsidRDefault="00C14B23" w:rsidP="00C14B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 xml:space="preserve">Розгляд питання на засіданні комісії з питань захисту прав дитини при виконавчому комітеті Кременчуцької міської ради </w:t>
      </w:r>
      <w:r w:rsidR="0062667C" w:rsidRPr="00BB56E8">
        <w:rPr>
          <w:sz w:val="28"/>
          <w:szCs w:val="28"/>
          <w:lang w:val="uk-UA"/>
        </w:rPr>
        <w:t xml:space="preserve">Кременчуцького району </w:t>
      </w:r>
      <w:r w:rsidRPr="00BB56E8">
        <w:rPr>
          <w:sz w:val="28"/>
          <w:szCs w:val="28"/>
          <w:lang w:val="uk-UA"/>
        </w:rPr>
        <w:t>Полтавської області.</w:t>
      </w:r>
    </w:p>
    <w:p w:rsidR="00C14B23" w:rsidRPr="00BB56E8" w:rsidRDefault="00C14B23" w:rsidP="00C14B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 xml:space="preserve">Прийняття рішення про затвердження висновку органу опіки та піклування виконавчого комітету Кременчуцької міської ради </w:t>
      </w:r>
      <w:r w:rsidR="0062667C" w:rsidRPr="00BB56E8">
        <w:rPr>
          <w:sz w:val="28"/>
          <w:szCs w:val="28"/>
          <w:lang w:val="uk-UA"/>
        </w:rPr>
        <w:t>Кременчуцького району Полтавської області</w:t>
      </w:r>
      <w:r w:rsidR="00E42B54">
        <w:rPr>
          <w:sz w:val="28"/>
          <w:szCs w:val="28"/>
          <w:lang w:val="uk-UA"/>
        </w:rPr>
        <w:t xml:space="preserve"> </w:t>
      </w:r>
      <w:r w:rsidRPr="00BB56E8">
        <w:rPr>
          <w:sz w:val="28"/>
          <w:szCs w:val="28"/>
          <w:lang w:val="uk-UA"/>
        </w:rPr>
        <w:t>на засіданні виконавчого комітету Кременчуцької міської ради</w:t>
      </w:r>
      <w:r w:rsidR="00E42B54">
        <w:rPr>
          <w:sz w:val="28"/>
          <w:szCs w:val="28"/>
          <w:lang w:val="uk-UA"/>
        </w:rPr>
        <w:t xml:space="preserve"> </w:t>
      </w:r>
      <w:r w:rsidR="0062667C" w:rsidRPr="00BB56E8">
        <w:rPr>
          <w:sz w:val="28"/>
          <w:szCs w:val="28"/>
          <w:lang w:val="uk-UA"/>
        </w:rPr>
        <w:t>Кременчуцького району Полтавської області</w:t>
      </w:r>
      <w:r w:rsidRPr="00BB56E8">
        <w:rPr>
          <w:sz w:val="28"/>
          <w:szCs w:val="28"/>
          <w:lang w:val="uk-UA"/>
        </w:rPr>
        <w:t>.</w:t>
      </w:r>
    </w:p>
    <w:p w:rsidR="00C14B23" w:rsidRPr="00BB56E8" w:rsidRDefault="00C14B23" w:rsidP="00C14B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BB56E8">
        <w:rPr>
          <w:sz w:val="28"/>
          <w:szCs w:val="28"/>
          <w:lang w:val="uk-UA"/>
        </w:rPr>
        <w:t xml:space="preserve">Надання до суду рішення про затвердження висновку органу опіки та піклування виконавчого комітету Кременчуцької міської ради </w:t>
      </w:r>
      <w:r w:rsidR="0062667C" w:rsidRPr="00BB56E8">
        <w:rPr>
          <w:sz w:val="28"/>
          <w:szCs w:val="28"/>
          <w:lang w:val="uk-UA"/>
        </w:rPr>
        <w:t>Кременчуцького району Полтавської області</w:t>
      </w:r>
      <w:r w:rsidRPr="00BB56E8">
        <w:rPr>
          <w:sz w:val="28"/>
          <w:szCs w:val="28"/>
          <w:lang w:val="uk-UA"/>
        </w:rPr>
        <w:t>.</w:t>
      </w:r>
    </w:p>
    <w:p w:rsidR="001C2646" w:rsidRPr="00BB56E8" w:rsidRDefault="00C14B23" w:rsidP="00E42B54">
      <w:pPr>
        <w:jc w:val="both"/>
        <w:rPr>
          <w:lang w:val="uk-UA"/>
        </w:rPr>
      </w:pPr>
      <w:r w:rsidRPr="00BB56E8">
        <w:rPr>
          <w:sz w:val="28"/>
          <w:szCs w:val="28"/>
          <w:lang w:val="uk-UA"/>
        </w:rPr>
        <w:t>Термін вирішення – 1-2 місяці в залежності від складності вирішуваного питання, а також з урахуванням вимог ст. 15 Закону України «Про доступ до публічної інформації».</w:t>
      </w:r>
    </w:p>
    <w:sectPr w:rsidR="001C2646" w:rsidRPr="00BB56E8" w:rsidSect="000A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C4B17"/>
    <w:multiLevelType w:val="multilevel"/>
    <w:tmpl w:val="DEB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A33C5"/>
    <w:multiLevelType w:val="multilevel"/>
    <w:tmpl w:val="B09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B23"/>
    <w:rsid w:val="000A09E8"/>
    <w:rsid w:val="001C2646"/>
    <w:rsid w:val="005F43DF"/>
    <w:rsid w:val="0062667C"/>
    <w:rsid w:val="00BB56E8"/>
    <w:rsid w:val="00C14B23"/>
    <w:rsid w:val="00DA03DE"/>
    <w:rsid w:val="00E4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B4502-0156-4B68-9AAC-9AA2C7E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B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</cp:lastModifiedBy>
  <cp:revision>4</cp:revision>
  <dcterms:created xsi:type="dcterms:W3CDTF">2021-01-08T08:56:00Z</dcterms:created>
  <dcterms:modified xsi:type="dcterms:W3CDTF">2021-01-12T06:15:00Z</dcterms:modified>
</cp:coreProperties>
</file>