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48426" w14:textId="62A0D8E3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Відповідно до </w:t>
      </w:r>
      <w:hyperlink r:id="rId5" w:anchor="n161" w:tgtFrame="_blank" w:history="1">
        <w:r w:rsidRPr="00670E90">
          <w:rPr>
            <w:rFonts w:ascii="Times New Roman" w:eastAsia="Times New Roman" w:hAnsi="Times New Roman" w:cs="Times New Roman"/>
            <w:color w:val="337AB7"/>
            <w:sz w:val="30"/>
            <w:szCs w:val="30"/>
            <w:u w:val="single"/>
            <w:lang w:eastAsia="uk-UA"/>
          </w:rPr>
          <w:t>пунктів 4 </w:t>
        </w:r>
      </w:hyperlink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і </w:t>
      </w:r>
      <w:hyperlink r:id="rId6" w:anchor="n162" w:tgtFrame="_blank" w:history="1">
        <w:r w:rsidRPr="00670E90">
          <w:rPr>
            <w:rFonts w:ascii="Times New Roman" w:eastAsia="Times New Roman" w:hAnsi="Times New Roman" w:cs="Times New Roman"/>
            <w:color w:val="337AB7"/>
            <w:sz w:val="30"/>
            <w:szCs w:val="30"/>
            <w:u w:val="single"/>
            <w:lang w:eastAsia="uk-UA"/>
          </w:rPr>
          <w:t>5 </w:t>
        </w:r>
      </w:hyperlink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розділу IV “Прикінцеві та перехідні положення” Закону України “Про державні фінансові гарантії медичного обслуговування населення”, </w:t>
      </w:r>
      <w:hyperlink r:id="rId7" w:anchor="n101" w:tgtFrame="_blank" w:history="1">
        <w:r w:rsidRPr="00670E90">
          <w:rPr>
            <w:rFonts w:ascii="Times New Roman" w:eastAsia="Times New Roman" w:hAnsi="Times New Roman" w:cs="Times New Roman"/>
            <w:color w:val="337AB7"/>
            <w:sz w:val="30"/>
            <w:szCs w:val="30"/>
            <w:u w:val="single"/>
            <w:lang w:eastAsia="uk-UA"/>
          </w:rPr>
          <w:t>статті 22</w:t>
        </w:r>
      </w:hyperlink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 Закону України “Про Державний бюджет України на 2020 рік”, </w:t>
      </w:r>
      <w:hyperlink r:id="rId8" w:tgtFrame="_blank" w:history="1">
        <w:r w:rsidRPr="00670E90">
          <w:rPr>
            <w:rFonts w:ascii="Times New Roman" w:eastAsia="Times New Roman" w:hAnsi="Times New Roman" w:cs="Times New Roman"/>
            <w:color w:val="337AB7"/>
            <w:sz w:val="30"/>
            <w:szCs w:val="30"/>
            <w:u w:val="single"/>
            <w:lang w:eastAsia="uk-UA"/>
          </w:rPr>
          <w:t>Бюджетного кодексу України</w:t>
        </w:r>
      </w:hyperlink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 xml:space="preserve">, Постанови кабінету міністрів України від 5 лютого 2020 р. № 65 Деякі питання реалізації програми державних гарантій медичного обслуговування населення </w:t>
      </w:r>
      <w:r w:rsidR="0048001C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.</w:t>
      </w:r>
    </w:p>
    <w:p w14:paraId="7C2E69C3" w14:textId="286BBBF2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В Україні з 01 квітня розпочався другий етап медичної реформи він стосується практично всіх закладів охорони здоров'я, в тому числі і КН</w:t>
      </w:r>
      <w:r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М</w:t>
      </w: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 xml:space="preserve">П </w:t>
      </w:r>
      <w:r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ЛІЛ «Кременчуцька»</w:t>
      </w: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 xml:space="preserve"> та громадян, які проживають на території нашої держави.</w:t>
      </w:r>
    </w:p>
    <w:p w14:paraId="1B9C5461" w14:textId="6149EBDA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 xml:space="preserve">Тому змінився порядок та принцип надання медичної </w:t>
      </w:r>
      <w:r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 xml:space="preserve">допомоги </w:t>
      </w: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пацієнтам та громадянам.</w:t>
      </w:r>
    </w:p>
    <w:p w14:paraId="575DCE80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Наш заклад надає високоспеціалізовану допомогу відповідно до ліцензії МОЗ за наступними спеціальностями :</w:t>
      </w:r>
    </w:p>
    <w:p w14:paraId="0B52CDA7" w14:textId="77777777" w:rsidR="00670E90" w:rsidRDefault="00670E90" w:rsidP="00670E90">
      <w:pPr>
        <w:pStyle w:val="Default"/>
        <w:spacing w:before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медичної практики за спеціальністю організація і управління охороною здоров'я, акушерство і гінекологія, алергологія, анестезіологія, дерматовенерологія, ендокринологія, ендоскопія, інфекційні хвороби, кардіологія, клінічна біохімія, клінічна лабораторна діагностика, неврологія, нейрохірургія, онкологія, ортопедія і травматологія, отоларингологія, офтальмологія, підліткова терапія, проктологія, ревматологія, рентгенологія, стоматологія, судинна хірургія, терапія, ультразвукова діагностика, урологія, фізіотерапія, функціональна діагностика, хірургічна стоматологія, хірургія, хірургія серця і магістральних судин; за спеціальністю молодших спеціалістів з медичною освітою: акушерська справа, сестринська справа, сестринська справа (операційна), лабораторна справа (клініка), рентгенологія, медична статистика </w:t>
      </w:r>
    </w:p>
    <w:p w14:paraId="6069F861" w14:textId="77777777" w:rsidR="00670E90" w:rsidRDefault="00670E90" w:rsidP="00670E90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</w:pPr>
    </w:p>
    <w:p w14:paraId="43DD1371" w14:textId="3555DA3F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Заклад обладнано сучасним медичним обладнанням переважно експертного класу на якому працюють команда висококласного медичного персоналу, який володіє фундаментальним досвітом лікування</w:t>
      </w:r>
    </w:p>
    <w:p w14:paraId="133F9C7D" w14:textId="4014C996" w:rsidR="00670E90" w:rsidRDefault="00670E90" w:rsidP="00670E90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Нами укладено договір з Національна служба здоров’я України (НСЗУ) про медичне обслуговування населення за програмою медичних гарантій за наступними пакетами медичних гарантій:</w:t>
      </w:r>
    </w:p>
    <w:p w14:paraId="1C92E223" w14:textId="77777777" w:rsidR="001839FB" w:rsidRPr="001839FB" w:rsidRDefault="001839FB" w:rsidP="001839FB">
      <w:pPr>
        <w:spacing w:after="75" w:line="240" w:lineRule="auto"/>
        <w:textAlignment w:val="baseline"/>
        <w:outlineLvl w:val="0"/>
        <w:rPr>
          <w:rFonts w:ascii="Gentium Basic" w:eastAsia="Times New Roman" w:hAnsi="Gentium Basic" w:cs="Times New Roman"/>
          <w:color w:val="666666"/>
          <w:kern w:val="36"/>
          <w:sz w:val="45"/>
          <w:szCs w:val="45"/>
          <w:lang w:eastAsia="uk-UA"/>
        </w:rPr>
      </w:pPr>
      <w:r w:rsidRPr="001839FB">
        <w:rPr>
          <w:rFonts w:ascii="Calibri" w:eastAsia="Times New Roman" w:hAnsi="Calibri" w:cs="Calibri"/>
          <w:color w:val="666666"/>
          <w:kern w:val="36"/>
          <w:sz w:val="45"/>
          <w:szCs w:val="45"/>
          <w:lang w:eastAsia="uk-UA"/>
        </w:rPr>
        <w:t>Договори</w:t>
      </w:r>
      <w:r w:rsidRPr="001839FB">
        <w:rPr>
          <w:rFonts w:ascii="Gentium Basic" w:eastAsia="Times New Roman" w:hAnsi="Gentium Basic" w:cs="Times New Roman"/>
          <w:color w:val="666666"/>
          <w:kern w:val="36"/>
          <w:sz w:val="45"/>
          <w:szCs w:val="45"/>
          <w:lang w:eastAsia="uk-UA"/>
        </w:rPr>
        <w:t xml:space="preserve"> </w:t>
      </w:r>
      <w:r w:rsidRPr="001839FB">
        <w:rPr>
          <w:rFonts w:ascii="Calibri" w:eastAsia="Times New Roman" w:hAnsi="Calibri" w:cs="Calibri"/>
          <w:color w:val="666666"/>
          <w:kern w:val="36"/>
          <w:sz w:val="45"/>
          <w:szCs w:val="45"/>
          <w:lang w:eastAsia="uk-UA"/>
        </w:rPr>
        <w:t>з</w:t>
      </w:r>
      <w:r w:rsidRPr="001839FB">
        <w:rPr>
          <w:rFonts w:ascii="Gentium Basic" w:eastAsia="Times New Roman" w:hAnsi="Gentium Basic" w:cs="Times New Roman"/>
          <w:color w:val="666666"/>
          <w:kern w:val="36"/>
          <w:sz w:val="45"/>
          <w:szCs w:val="45"/>
          <w:lang w:eastAsia="uk-UA"/>
        </w:rPr>
        <w:t xml:space="preserve"> </w:t>
      </w:r>
      <w:r w:rsidRPr="001839FB">
        <w:rPr>
          <w:rFonts w:ascii="Calibri" w:eastAsia="Times New Roman" w:hAnsi="Calibri" w:cs="Calibri"/>
          <w:color w:val="666666"/>
          <w:kern w:val="36"/>
          <w:sz w:val="45"/>
          <w:szCs w:val="45"/>
          <w:lang w:eastAsia="uk-UA"/>
        </w:rPr>
        <w:t>НСЗУ</w:t>
      </w:r>
      <w:r w:rsidRPr="001839FB">
        <w:rPr>
          <w:rFonts w:ascii="Gentium Basic" w:eastAsia="Times New Roman" w:hAnsi="Gentium Basic" w:cs="Times New Roman"/>
          <w:color w:val="666666"/>
          <w:kern w:val="36"/>
          <w:sz w:val="45"/>
          <w:szCs w:val="45"/>
          <w:lang w:eastAsia="uk-UA"/>
        </w:rPr>
        <w:t xml:space="preserve"> </w:t>
      </w:r>
      <w:r w:rsidRPr="001839FB">
        <w:rPr>
          <w:rFonts w:ascii="Calibri" w:eastAsia="Times New Roman" w:hAnsi="Calibri" w:cs="Calibri"/>
          <w:color w:val="666666"/>
          <w:kern w:val="36"/>
          <w:sz w:val="45"/>
          <w:szCs w:val="45"/>
          <w:lang w:eastAsia="uk-UA"/>
        </w:rPr>
        <w:t>по</w:t>
      </w:r>
      <w:r w:rsidRPr="001839FB">
        <w:rPr>
          <w:rFonts w:ascii="Gentium Basic" w:eastAsia="Times New Roman" w:hAnsi="Gentium Basic" w:cs="Times New Roman"/>
          <w:color w:val="666666"/>
          <w:kern w:val="36"/>
          <w:sz w:val="45"/>
          <w:szCs w:val="45"/>
          <w:lang w:eastAsia="uk-UA"/>
        </w:rPr>
        <w:t xml:space="preserve"> </w:t>
      </w:r>
      <w:r w:rsidRPr="001839FB">
        <w:rPr>
          <w:rFonts w:ascii="Calibri" w:eastAsia="Times New Roman" w:hAnsi="Calibri" w:cs="Calibri"/>
          <w:color w:val="666666"/>
          <w:kern w:val="36"/>
          <w:sz w:val="45"/>
          <w:szCs w:val="45"/>
          <w:lang w:eastAsia="uk-UA"/>
        </w:rPr>
        <w:t>пакетам</w:t>
      </w:r>
      <w:r w:rsidRPr="001839FB">
        <w:rPr>
          <w:rFonts w:ascii="Gentium Basic" w:eastAsia="Times New Roman" w:hAnsi="Gentium Basic" w:cs="Times New Roman"/>
          <w:color w:val="666666"/>
          <w:kern w:val="36"/>
          <w:sz w:val="45"/>
          <w:szCs w:val="45"/>
          <w:lang w:eastAsia="uk-UA"/>
        </w:rPr>
        <w:t xml:space="preserve"> </w:t>
      </w:r>
      <w:r w:rsidRPr="001839FB">
        <w:rPr>
          <w:rFonts w:ascii="Calibri" w:eastAsia="Times New Roman" w:hAnsi="Calibri" w:cs="Calibri"/>
          <w:color w:val="666666"/>
          <w:kern w:val="36"/>
          <w:sz w:val="45"/>
          <w:szCs w:val="45"/>
          <w:lang w:eastAsia="uk-UA"/>
        </w:rPr>
        <w:t>послуг</w:t>
      </w:r>
    </w:p>
    <w:p w14:paraId="49FA1C86" w14:textId="1F527B3A" w:rsidR="001839FB" w:rsidRPr="001839FB" w:rsidRDefault="001839FB" w:rsidP="001839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1839F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Програма медичних гарантій</w:t>
      </w:r>
      <w:r w:rsidRPr="001839FB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 xml:space="preserve"> – це перелік медичних послуг, які пацієнт може отримати гарантовано безоплатно. НСЗУ оплачує надану медичну допомогу пацієнтам в межах програм та на підставі </w:t>
      </w:r>
      <w:proofErr w:type="spellStart"/>
      <w:r w:rsidRPr="001839FB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заключених</w:t>
      </w:r>
      <w:proofErr w:type="spellEnd"/>
      <w:r w:rsidRPr="001839FB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 xml:space="preserve"> договорів між закладом охорони здоров’я та НСЗУ.</w:t>
      </w:r>
    </w:p>
    <w:p w14:paraId="1B252948" w14:textId="3465AD8F" w:rsidR="001839FB" w:rsidRPr="0048001C" w:rsidRDefault="001839FB" w:rsidP="001839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8"/>
          <w:lang w:eastAsia="uk-UA"/>
        </w:rPr>
      </w:pPr>
      <w:r w:rsidRPr="0048001C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uk-UA"/>
        </w:rPr>
        <w:lastRenderedPageBreak/>
        <w:t>На даний час К</w:t>
      </w:r>
      <w:r w:rsidR="007513D6" w:rsidRPr="0048001C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uk-UA"/>
        </w:rPr>
        <w:t>НМП</w:t>
      </w:r>
      <w:r w:rsidRPr="0048001C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uk-UA"/>
        </w:rPr>
        <w:t xml:space="preserve"> «</w:t>
      </w:r>
      <w:r w:rsidR="007513D6" w:rsidRPr="0048001C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uk-UA"/>
        </w:rPr>
        <w:t>Лікарня інтенсивного лікування «Кременчуцька»</w:t>
      </w:r>
      <w:r w:rsidRPr="0048001C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uk-UA"/>
        </w:rPr>
        <w:t>» заключила договори з НСЗУ по наступним пакетам послуг.</w:t>
      </w:r>
    </w:p>
    <w:p w14:paraId="7438B587" w14:textId="77777777" w:rsidR="0048001C" w:rsidRDefault="001839FB" w:rsidP="004800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>Пакет № 9 – Профілактика, діагностика, спостереження лікування та реабілітація пацієнтів в амбулаторних умовах,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  <w:t>пакет № 4 – Стаціонарна допомога дорослим та дітям без хірургічних операцій,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  <w:t>пакет № 3 – Хірургічні операції дорослим та дітям у стаціонарі,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  <w:t>пакет № 34 – Стоматологічна допомога дорослим та дітям,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  <w:t xml:space="preserve">пакет № </w:t>
      </w:r>
      <w:r w:rsidR="007513D6" w:rsidRPr="0048001C">
        <w:rPr>
          <w:rFonts w:ascii="inherit" w:eastAsia="Times New Roman" w:hAnsi="inherit" w:cs="Times New Roman"/>
          <w:sz w:val="28"/>
          <w:szCs w:val="28"/>
          <w:lang w:eastAsia="uk-UA"/>
        </w:rPr>
        <w:t>6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 – Медична допомога при </w:t>
      </w:r>
      <w:r w:rsidR="007513D6"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 гострому інфаркті міокарда,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  <w:t>пакет № 23- Стаціонарна паліативна медична допомога дорослим та дітям,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  <w:t>пакет № 5 – Медична допомога при гострому мозковому інсульті,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  <w:t>пакет № 35 – Ведення вагітності в амбулаторних умовах,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  <w:t xml:space="preserve">пакет № 12 – </w:t>
      </w:r>
      <w:proofErr w:type="spellStart"/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>Езафагогастродуоденоскопія</w:t>
      </w:r>
      <w:proofErr w:type="spellEnd"/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>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  <w:t>пакет № 14 – Цистоскопія,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  <w:t>пакет № 1</w:t>
      </w:r>
      <w:r w:rsidR="007513D6" w:rsidRPr="0048001C">
        <w:rPr>
          <w:rFonts w:ascii="inherit" w:eastAsia="Times New Roman" w:hAnsi="inherit" w:cs="Times New Roman"/>
          <w:sz w:val="28"/>
          <w:szCs w:val="28"/>
          <w:lang w:eastAsia="uk-UA"/>
        </w:rPr>
        <w:t>3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 – </w:t>
      </w:r>
      <w:r w:rsidR="007513D6" w:rsidRPr="0048001C">
        <w:rPr>
          <w:rFonts w:ascii="inherit" w:eastAsia="Times New Roman" w:hAnsi="inherit" w:cs="Times New Roman"/>
          <w:sz w:val="28"/>
          <w:szCs w:val="28"/>
          <w:lang w:eastAsia="uk-UA"/>
        </w:rPr>
        <w:t>Колоноскопія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>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  <w:t xml:space="preserve">пакет № </w:t>
      </w:r>
      <w:r w:rsidR="007513D6" w:rsidRPr="0048001C">
        <w:rPr>
          <w:rFonts w:ascii="inherit" w:eastAsia="Times New Roman" w:hAnsi="inherit" w:cs="Times New Roman"/>
          <w:sz w:val="28"/>
          <w:szCs w:val="28"/>
          <w:lang w:eastAsia="uk-UA"/>
        </w:rPr>
        <w:t>42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 – </w:t>
      </w:r>
      <w:r w:rsidR="007513D6"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Готовність закладу охорони </w:t>
      </w:r>
      <w:proofErr w:type="spellStart"/>
      <w:r w:rsidR="007513D6" w:rsidRPr="0048001C">
        <w:rPr>
          <w:rFonts w:ascii="inherit" w:eastAsia="Times New Roman" w:hAnsi="inherit" w:cs="Times New Roman"/>
          <w:sz w:val="28"/>
          <w:szCs w:val="28"/>
          <w:lang w:eastAsia="uk-UA"/>
        </w:rPr>
        <w:t>здоров</w:t>
      </w:r>
      <w:r w:rsidR="00AD621F" w:rsidRPr="0048001C">
        <w:rPr>
          <w:rFonts w:ascii="Arial" w:eastAsia="Times New Roman" w:hAnsi="Arial" w:cs="Arial"/>
          <w:sz w:val="28"/>
          <w:szCs w:val="28"/>
          <w:lang w:eastAsia="uk-UA"/>
        </w:rPr>
        <w:t>҆</w:t>
      </w:r>
      <w:r w:rsidR="007513D6" w:rsidRPr="0048001C">
        <w:rPr>
          <w:rFonts w:ascii="inherit" w:eastAsia="Times New Roman" w:hAnsi="inherit" w:cs="Times New Roman"/>
          <w:sz w:val="28"/>
          <w:szCs w:val="28"/>
          <w:lang w:eastAsia="uk-UA"/>
        </w:rPr>
        <w:t>я</w:t>
      </w:r>
      <w:proofErr w:type="spellEnd"/>
      <w:r w:rsidR="007513D6"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 до надання медичної допомоги в надзвичайних ситуаціях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>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  <w:t xml:space="preserve">пакет № </w:t>
      </w:r>
      <w:r w:rsidR="007513D6" w:rsidRPr="0048001C">
        <w:rPr>
          <w:rFonts w:ascii="inherit" w:eastAsia="Times New Roman" w:hAnsi="inherit" w:cs="Times New Roman"/>
          <w:sz w:val="28"/>
          <w:szCs w:val="28"/>
          <w:lang w:eastAsia="uk-UA"/>
        </w:rPr>
        <w:t>47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 – </w:t>
      </w:r>
      <w:r w:rsidR="007513D6" w:rsidRPr="0048001C">
        <w:rPr>
          <w:rFonts w:ascii="inherit" w:eastAsia="Times New Roman" w:hAnsi="inherit" w:cs="Times New Roman"/>
          <w:sz w:val="28"/>
          <w:szCs w:val="28"/>
          <w:lang w:eastAsia="uk-UA"/>
        </w:rPr>
        <w:t>Хірургічні операції</w:t>
      </w:r>
      <w:r w:rsidR="00AD621F"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 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  дорослим та дітям</w:t>
      </w:r>
      <w:r w:rsidR="00AD621F"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 у стаціонарних умовах одного дня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>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  <w:t xml:space="preserve">пакет № </w:t>
      </w:r>
      <w:r w:rsidR="00AD621F" w:rsidRPr="0048001C">
        <w:rPr>
          <w:rFonts w:ascii="inherit" w:eastAsia="Times New Roman" w:hAnsi="inherit" w:cs="Times New Roman"/>
          <w:sz w:val="28"/>
          <w:szCs w:val="28"/>
          <w:lang w:eastAsia="uk-UA"/>
        </w:rPr>
        <w:t>50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 – </w:t>
      </w:r>
      <w:r w:rsidR="00AD621F"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Забеспечення кадрового потенціалу системи охорони </w:t>
      </w:r>
      <w:proofErr w:type="spellStart"/>
      <w:r w:rsidR="00AD621F" w:rsidRPr="0048001C">
        <w:rPr>
          <w:rFonts w:ascii="inherit" w:eastAsia="Times New Roman" w:hAnsi="inherit" w:cs="Times New Roman"/>
          <w:sz w:val="28"/>
          <w:szCs w:val="28"/>
          <w:lang w:eastAsia="uk-UA"/>
        </w:rPr>
        <w:t>здоров</w:t>
      </w:r>
      <w:r w:rsidR="00AD621F" w:rsidRPr="0048001C">
        <w:rPr>
          <w:rFonts w:ascii="Arial" w:eastAsia="Times New Roman" w:hAnsi="Arial" w:cs="Arial"/>
          <w:sz w:val="28"/>
          <w:szCs w:val="28"/>
          <w:lang w:eastAsia="uk-UA"/>
        </w:rPr>
        <w:t>҆</w:t>
      </w:r>
      <w:r w:rsidR="00AD621F" w:rsidRPr="0048001C">
        <w:rPr>
          <w:rFonts w:ascii="inherit" w:eastAsia="Times New Roman" w:hAnsi="inherit" w:cs="Times New Roman"/>
          <w:sz w:val="28"/>
          <w:szCs w:val="28"/>
          <w:lang w:eastAsia="uk-UA"/>
        </w:rPr>
        <w:t>я</w:t>
      </w:r>
      <w:proofErr w:type="spellEnd"/>
      <w:r w:rsidR="00AD621F"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 шляхом організації надання медичної допомоги із залученням лікарів -інтернів,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  <w:t xml:space="preserve">пакет № </w:t>
      </w:r>
      <w:r w:rsidR="00AD621F" w:rsidRPr="0048001C">
        <w:rPr>
          <w:rFonts w:ascii="inherit" w:eastAsia="Times New Roman" w:hAnsi="inherit" w:cs="Times New Roman"/>
          <w:sz w:val="28"/>
          <w:szCs w:val="28"/>
          <w:lang w:eastAsia="uk-UA"/>
        </w:rPr>
        <w:t>53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 – </w:t>
      </w:r>
      <w:r w:rsidR="00AD621F" w:rsidRPr="0048001C">
        <w:rPr>
          <w:rFonts w:ascii="inherit" w:eastAsia="Times New Roman" w:hAnsi="inherit" w:cs="Times New Roman"/>
          <w:sz w:val="28"/>
          <w:szCs w:val="28"/>
          <w:lang w:eastAsia="uk-UA"/>
        </w:rPr>
        <w:t>Реабілітаційна допомога дорослим і дітям у стаціонарних умовах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>,</w:t>
      </w: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br/>
      </w:r>
      <w:r w:rsidR="00AD621F"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пакет № 54 – Реабілітаційна допомога дорослим і дітям у амбулаторних умовах,    </w:t>
      </w:r>
    </w:p>
    <w:p w14:paraId="22360623" w14:textId="70A139F1" w:rsidR="001839FB" w:rsidRPr="0048001C" w:rsidRDefault="00AD621F" w:rsidP="00AD621F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  </w:t>
      </w:r>
      <w:r w:rsidR="001839FB" w:rsidRPr="0048001C">
        <w:rPr>
          <w:rFonts w:ascii="inherit" w:eastAsia="Times New Roman" w:hAnsi="inherit" w:cs="Times New Roman"/>
          <w:sz w:val="28"/>
          <w:szCs w:val="28"/>
          <w:lang w:eastAsia="uk-UA"/>
        </w:rPr>
        <w:t xml:space="preserve">пакет </w:t>
      </w:r>
      <w:r w:rsidR="001839FB" w:rsidRPr="0048001C">
        <w:rPr>
          <w:rFonts w:ascii="inherit" w:eastAsia="Times New Roman" w:hAnsi="inherit" w:cs="Times New Roman"/>
          <w:color w:val="444444"/>
          <w:sz w:val="28"/>
          <w:szCs w:val="28"/>
          <w:lang w:eastAsia="uk-UA"/>
        </w:rPr>
        <w:t xml:space="preserve">№ </w:t>
      </w:r>
      <w:r w:rsidRPr="0048001C">
        <w:rPr>
          <w:rFonts w:ascii="inherit" w:eastAsia="Times New Roman" w:hAnsi="inherit" w:cs="Times New Roman"/>
          <w:color w:val="444444"/>
          <w:sz w:val="28"/>
          <w:szCs w:val="28"/>
          <w:lang w:eastAsia="uk-UA"/>
        </w:rPr>
        <w:t>60</w:t>
      </w:r>
      <w:r w:rsidR="001839FB" w:rsidRPr="0048001C">
        <w:rPr>
          <w:rFonts w:ascii="inherit" w:eastAsia="Times New Roman" w:hAnsi="inherit" w:cs="Times New Roman"/>
          <w:color w:val="444444"/>
          <w:sz w:val="28"/>
          <w:szCs w:val="28"/>
          <w:lang w:eastAsia="uk-UA"/>
        </w:rPr>
        <w:t xml:space="preserve"> – </w:t>
      </w:r>
      <w:r w:rsidRPr="0048001C">
        <w:rPr>
          <w:rFonts w:ascii="inherit" w:eastAsia="Times New Roman" w:hAnsi="inherit" w:cs="Times New Roman"/>
          <w:color w:val="444444"/>
          <w:sz w:val="28"/>
          <w:szCs w:val="28"/>
          <w:lang w:eastAsia="uk-UA"/>
        </w:rPr>
        <w:t>Медичний огляд осіб, який організовується територіальним центрами комплектування та соціальної підтримки</w:t>
      </w:r>
      <w:r w:rsidR="001839FB" w:rsidRPr="0048001C">
        <w:rPr>
          <w:rFonts w:ascii="inherit" w:eastAsia="Times New Roman" w:hAnsi="inherit" w:cs="Times New Roman"/>
          <w:color w:val="444444"/>
          <w:sz w:val="28"/>
          <w:szCs w:val="28"/>
          <w:lang w:eastAsia="uk-UA"/>
        </w:rPr>
        <w:t>.</w:t>
      </w:r>
    </w:p>
    <w:p w14:paraId="0A631100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1. Хірургічні операції дорослим та дітям у стаціонарних умовах</w:t>
      </w:r>
    </w:p>
    <w:p w14:paraId="158FD936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 Підстави надання послуги:</w:t>
      </w:r>
    </w:p>
    <w:p w14:paraId="4A8CA689" w14:textId="77777777" w:rsidR="00670E90" w:rsidRPr="00670E90" w:rsidRDefault="00670E90" w:rsidP="00670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направлення лікаря з надання ПМД, з яким укладено декларацію про вибір лікаря;</w:t>
      </w:r>
    </w:p>
    <w:p w14:paraId="10DDBF46" w14:textId="77777777" w:rsidR="00670E90" w:rsidRPr="00670E90" w:rsidRDefault="00670E90" w:rsidP="00670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направлення лікуючого лікаря;</w:t>
      </w:r>
    </w:p>
    <w:p w14:paraId="25FF8A51" w14:textId="77777777" w:rsidR="00670E90" w:rsidRPr="00670E90" w:rsidRDefault="00670E90" w:rsidP="00670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доставлення бригадою екстреної (швидкої) медичної допомоги;</w:t>
      </w:r>
    </w:p>
    <w:p w14:paraId="576A0D81" w14:textId="77777777" w:rsidR="00670E90" w:rsidRPr="00670E90" w:rsidRDefault="00670E90" w:rsidP="00670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направлення з іншого клінічного підрозділу закладу в разі перебування пацієнта на стаціонарному лікуванні;</w:t>
      </w:r>
    </w:p>
    <w:p w14:paraId="1A950407" w14:textId="77777777" w:rsidR="00670E90" w:rsidRPr="00670E90" w:rsidRDefault="00670E90" w:rsidP="00670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самозвернення у невідкладному стані.</w:t>
      </w:r>
    </w:p>
    <w:p w14:paraId="44517FBA" w14:textId="77777777" w:rsidR="0048001C" w:rsidRDefault="00670E90" w:rsidP="00670E90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            </w:t>
      </w:r>
    </w:p>
    <w:p w14:paraId="159608E1" w14:textId="77777777" w:rsidR="0048001C" w:rsidRDefault="0048001C" w:rsidP="00670E90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</w:pPr>
    </w:p>
    <w:p w14:paraId="61C8452D" w14:textId="059DE63B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lastRenderedPageBreak/>
        <w:t xml:space="preserve"> Надавач зобов'язується:</w:t>
      </w:r>
    </w:p>
    <w:p w14:paraId="5B12B7DF" w14:textId="77777777" w:rsidR="00670E90" w:rsidRPr="00670E90" w:rsidRDefault="00670E90" w:rsidP="00670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під час надання медичних послуг дотримуватися відповідних порядків надання медичної допомоги та галузевих стандартів у сфері охорони здоров'я, примірних табелів матеріально-технічного оснащення, в тому числі клінічних протоколів;</w:t>
      </w:r>
    </w:p>
    <w:p w14:paraId="7824CEC2" w14:textId="77777777" w:rsidR="00670E90" w:rsidRPr="00670E90" w:rsidRDefault="00670E90" w:rsidP="00670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надавати медичні послуги в обсязі не меншому, ніж визначено в специфікації;</w:t>
      </w:r>
    </w:p>
    <w:p w14:paraId="371CE622" w14:textId="77777777" w:rsidR="00670E90" w:rsidRPr="00670E90" w:rsidRDefault="00670E90" w:rsidP="00670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інші обов'язки: своєчасно вносити до системи медичну документацію про медичне обслуговування пацієнтів.</w:t>
      </w:r>
    </w:p>
    <w:p w14:paraId="6AB5715A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Тарифи та коригувальні коефіцієнти визначаються відповідно до законодавства</w:t>
      </w:r>
    </w:p>
    <w:p w14:paraId="4DCA8314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Обсяг послуги (специфікація) відповідно до потреб пацієнта:</w:t>
      </w:r>
    </w:p>
    <w:p w14:paraId="6D1379FE" w14:textId="77777777" w:rsidR="00670E90" w:rsidRPr="00670E90" w:rsidRDefault="00670E90" w:rsidP="00670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Первинний огляд пацієнта з визначенням його маршрутизації.</w:t>
      </w:r>
    </w:p>
    <w:p w14:paraId="1F3BFC69" w14:textId="77777777" w:rsidR="00670E90" w:rsidRPr="00670E90" w:rsidRDefault="00670E90" w:rsidP="00670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Проведення необхідних лабораторних та інструментальних обстежень.</w:t>
      </w:r>
    </w:p>
    <w:p w14:paraId="5B4F1ACA" w14:textId="77777777" w:rsidR="00670E90" w:rsidRPr="00670E90" w:rsidRDefault="00670E90" w:rsidP="00670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Проведення хірургічних операцій.</w:t>
      </w:r>
    </w:p>
    <w:p w14:paraId="04C39EA3" w14:textId="77777777" w:rsidR="00670E90" w:rsidRPr="00670E90" w:rsidRDefault="00670E90" w:rsidP="00670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Забезпечення анестезії та анестезіологічного моніторингу під час проведення хірургічних операцій та обстежень.</w:t>
      </w:r>
    </w:p>
    <w:p w14:paraId="5FA9923A" w14:textId="77777777" w:rsidR="00670E90" w:rsidRPr="00670E90" w:rsidRDefault="00670E90" w:rsidP="00670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Забезпечення післяопераційного моніторингу, знеболення та подальшої медикаментозної терапії.</w:t>
      </w:r>
    </w:p>
    <w:p w14:paraId="075BB20F" w14:textId="77777777" w:rsidR="00670E90" w:rsidRPr="00670E90" w:rsidRDefault="00670E90" w:rsidP="00670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Забезпечення проведення </w:t>
      </w:r>
      <w:proofErr w:type="spellStart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патоморфологічних</w:t>
      </w:r>
      <w:proofErr w:type="spellEnd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 досліджень.</w:t>
      </w:r>
    </w:p>
    <w:p w14:paraId="63CAAE02" w14:textId="77777777" w:rsidR="00670E90" w:rsidRPr="00670E90" w:rsidRDefault="00670E90" w:rsidP="00670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Забезпечення цілодобового лікарського та </w:t>
      </w:r>
      <w:proofErr w:type="spellStart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медсестринського</w:t>
      </w:r>
      <w:proofErr w:type="spellEnd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 догляду за пацієнтами.</w:t>
      </w:r>
    </w:p>
    <w:p w14:paraId="71826448" w14:textId="77777777" w:rsidR="00670E90" w:rsidRPr="00670E90" w:rsidRDefault="00670E90" w:rsidP="00670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Проведення консультацій лікарями інших спеціальностей.</w:t>
      </w:r>
    </w:p>
    <w:p w14:paraId="324E0B07" w14:textId="77777777" w:rsidR="00670E90" w:rsidRPr="00670E90" w:rsidRDefault="00670E90" w:rsidP="00670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Проведення заходів з вторинної профілактики захворювань.</w:t>
      </w:r>
    </w:p>
    <w:p w14:paraId="7709E288" w14:textId="77777777" w:rsidR="00670E90" w:rsidRPr="00670E90" w:rsidRDefault="00670E90" w:rsidP="00670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Надання послуг з медичної реабілітації в гострому періоді для запобігання виникнення післяопераційних ускладнень.</w:t>
      </w:r>
    </w:p>
    <w:p w14:paraId="51447730" w14:textId="77777777" w:rsidR="00670E90" w:rsidRPr="00670E90" w:rsidRDefault="00670E90" w:rsidP="00670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Направлення пацієнтів в інші заклади/підрозділи для надання їм спеціалізованої (вторинної), високоспеціалізованої (третинної) медичної допомоги.</w:t>
      </w:r>
    </w:p>
    <w:p w14:paraId="4A9D48F9" w14:textId="77777777" w:rsidR="00670E90" w:rsidRPr="00670E90" w:rsidRDefault="00670E90" w:rsidP="00670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Направлення пацієнтів в інші заклади/підрозділи для надання послуг з медичної реабілітації у </w:t>
      </w:r>
      <w:proofErr w:type="spellStart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підгострому</w:t>
      </w:r>
      <w:proofErr w:type="spellEnd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 та відновному періодах або послуг з паліативної медичної допомоги.</w:t>
      </w:r>
    </w:p>
    <w:p w14:paraId="626225FC" w14:textId="6A4ED08D" w:rsidR="00670E90" w:rsidRPr="00670E90" w:rsidRDefault="00AD621F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2</w:t>
      </w:r>
      <w:r w:rsidR="00670E90"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. Езофагогастродуоденоскопія</w:t>
      </w:r>
    </w:p>
    <w:p w14:paraId="6A5831F9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Підстави надання послуги: </w:t>
      </w:r>
    </w:p>
    <w:p w14:paraId="54822035" w14:textId="77777777" w:rsidR="00670E90" w:rsidRPr="00670E90" w:rsidRDefault="00670E90" w:rsidP="00670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направлення лікаря з надання ПМД, з яким укладено декларацію про вибір лікаря, або лікуючого лікаря; </w:t>
      </w:r>
    </w:p>
    <w:p w14:paraId="1F1A69AC" w14:textId="77777777" w:rsidR="00670E90" w:rsidRPr="00670E90" w:rsidRDefault="00670E90" w:rsidP="00670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lastRenderedPageBreak/>
        <w:t>вік пацієнтів - від 50 років і старше.</w:t>
      </w:r>
    </w:p>
    <w:p w14:paraId="5354ABD9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Обсяг послуги (специфікація) відповідно до потреб пацієнта:</w:t>
      </w:r>
    </w:p>
    <w:p w14:paraId="72517ECB" w14:textId="77777777" w:rsidR="00670E90" w:rsidRPr="00670E90" w:rsidRDefault="00670E90" w:rsidP="00670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Консультація лікаря перед дослідженням з метою виявлення протипоказань або інших важливих аспектів щодо забезпечення безпеки пацієнта під час проведення дослідження. </w:t>
      </w:r>
    </w:p>
    <w:p w14:paraId="3B7A1F38" w14:textId="77777777" w:rsidR="00670E90" w:rsidRPr="00670E90" w:rsidRDefault="00670E90" w:rsidP="00670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Ендоскопічне дослідження стравоходу, шлунку, в </w:t>
      </w:r>
      <w:proofErr w:type="spellStart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т.ч</w:t>
      </w:r>
      <w:proofErr w:type="spellEnd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. огляд шлунку в інверсії, та дванадцятипалої кишки крізь ротову порожнину з діагностичною метою та проведенням ендоскопічних маніпуляцій зокрема, взяттям матеріалу для гістологічного дослідження.</w:t>
      </w:r>
    </w:p>
    <w:p w14:paraId="570C695B" w14:textId="77777777" w:rsidR="00670E90" w:rsidRPr="00670E90" w:rsidRDefault="00670E90" w:rsidP="00670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Виконання </w:t>
      </w:r>
      <w:proofErr w:type="spellStart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поліпозиційної</w:t>
      </w:r>
      <w:proofErr w:type="spellEnd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 біопсії за системою “OLGA” (Оперативна система оцінки </w:t>
      </w:r>
      <w:proofErr w:type="spellStart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гастрита</w:t>
      </w:r>
      <w:proofErr w:type="spellEnd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) (в </w:t>
      </w:r>
      <w:proofErr w:type="spellStart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антральному</w:t>
      </w:r>
      <w:proofErr w:type="spellEnd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 відділі по малій і великій кривизні, куті шлунку, у тілі шлунку по великій і малій кривизні) для діагностики передракових змін слизової оболонки шлунку.</w:t>
      </w:r>
    </w:p>
    <w:p w14:paraId="1232A2E0" w14:textId="77777777" w:rsidR="00670E90" w:rsidRPr="00670E90" w:rsidRDefault="00670E90" w:rsidP="00670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Забезпечення вимірювання вистеленого циліндричним епітелієм стравоходу (CLE) згідно з Празькою класифікацією «С&amp;М».</w:t>
      </w:r>
    </w:p>
    <w:p w14:paraId="3B9F248C" w14:textId="77777777" w:rsidR="00670E90" w:rsidRPr="00670E90" w:rsidRDefault="00670E90" w:rsidP="00670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Забезпечення анестезії та анестезіологічного моніторингу під час проведення дослідження. </w:t>
      </w:r>
    </w:p>
    <w:p w14:paraId="6349D909" w14:textId="77777777" w:rsidR="00670E90" w:rsidRPr="00670E90" w:rsidRDefault="00670E90" w:rsidP="00670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Проведення гістологічного дослідження взятого матеріалу під час </w:t>
      </w:r>
      <w:proofErr w:type="spellStart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езофагогастродуоденоскопії</w:t>
      </w:r>
      <w:proofErr w:type="spellEnd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.</w:t>
      </w:r>
    </w:p>
    <w:p w14:paraId="231827BB" w14:textId="77777777" w:rsidR="00670E90" w:rsidRPr="00670E90" w:rsidRDefault="00670E90" w:rsidP="00670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Аналіз та опис результатів обстеження із зазначенням результатів гістологічного дослідження.</w:t>
      </w:r>
    </w:p>
    <w:p w14:paraId="70B8F544" w14:textId="59E9B8A3" w:rsidR="00670E90" w:rsidRPr="00670E90" w:rsidRDefault="00AD621F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3</w:t>
      </w:r>
      <w:r w:rsidR="00670E90"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. Колоноскопія</w:t>
      </w:r>
    </w:p>
    <w:p w14:paraId="02A624B9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Підстави надання послуги: </w:t>
      </w:r>
    </w:p>
    <w:p w14:paraId="3ADB79CA" w14:textId="77777777" w:rsidR="00670E90" w:rsidRPr="00670E90" w:rsidRDefault="00670E90" w:rsidP="00670E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направлення лікаря з надання ПМД, з яким укладено декларацію про вибір лікаря, або лікуючого лікаря; </w:t>
      </w:r>
    </w:p>
    <w:p w14:paraId="10DC1726" w14:textId="77777777" w:rsidR="00670E90" w:rsidRPr="00670E90" w:rsidRDefault="00670E90" w:rsidP="00670E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вік пацієнта - від 40 років і старше.</w:t>
      </w:r>
    </w:p>
    <w:p w14:paraId="6670D256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Обсяг послуги (специфікація) відповідно до потреб пацієнта:</w:t>
      </w:r>
    </w:p>
    <w:p w14:paraId="11421CAA" w14:textId="77777777" w:rsidR="00670E90" w:rsidRPr="00670E90" w:rsidRDefault="00670E90" w:rsidP="00670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Консультація лікаря перед дослідженням з метою виявлення протипоказань або інших важливих аспектів щодо забезпечення безпеки пацієнта під час проведення дослідження. </w:t>
      </w:r>
    </w:p>
    <w:p w14:paraId="30525D0E" w14:textId="77777777" w:rsidR="00670E90" w:rsidRPr="00670E90" w:rsidRDefault="00670E90" w:rsidP="00670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Ендоскопічне обстеження ампули прямої кишки, товстої кишки і термінального відділу тонкої кишки з діагностичною метою та проведенням ендоскопічних маніпуляцій (зокрема, взяттям матеріалу для гістологічного дослідження).</w:t>
      </w:r>
    </w:p>
    <w:p w14:paraId="62C8BDDF" w14:textId="77777777" w:rsidR="00670E90" w:rsidRPr="00670E90" w:rsidRDefault="00670E90" w:rsidP="00670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Колоноскопія діагностична для візуального огляду прямої кишки, товстої кишки і термінального відділу тонкої кишки без проведення ендоскопічних маніпуляцій.</w:t>
      </w:r>
    </w:p>
    <w:p w14:paraId="4A290168" w14:textId="77777777" w:rsidR="00670E90" w:rsidRPr="00670E90" w:rsidRDefault="00670E90" w:rsidP="00670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lastRenderedPageBreak/>
        <w:t xml:space="preserve">Виконання </w:t>
      </w:r>
      <w:proofErr w:type="spellStart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хромоколоноскопії</w:t>
      </w:r>
      <w:proofErr w:type="spellEnd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 (розчином індигокарміну, оцтової кислоти тощо) для діагностики </w:t>
      </w:r>
      <w:proofErr w:type="spellStart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неопластичних</w:t>
      </w:r>
      <w:proofErr w:type="spellEnd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 </w:t>
      </w:r>
      <w:proofErr w:type="spellStart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колоректальних</w:t>
      </w:r>
      <w:proofErr w:type="spellEnd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 утворень.</w:t>
      </w:r>
    </w:p>
    <w:p w14:paraId="2227D41E" w14:textId="77777777" w:rsidR="00670E90" w:rsidRPr="00670E90" w:rsidRDefault="00670E90" w:rsidP="00670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Забезпечення анестезії та анестезіологічного моніторингу під час проведення дослідження. </w:t>
      </w:r>
    </w:p>
    <w:p w14:paraId="6D013480" w14:textId="77777777" w:rsidR="00670E90" w:rsidRPr="00670E90" w:rsidRDefault="00670E90" w:rsidP="00670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 xml:space="preserve">Проведення гістологічного дослідження взятого матеріалу під час </w:t>
      </w:r>
      <w:proofErr w:type="spellStart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колоноскопії</w:t>
      </w:r>
      <w:proofErr w:type="spellEnd"/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.</w:t>
      </w:r>
    </w:p>
    <w:p w14:paraId="6247F5C7" w14:textId="77777777" w:rsidR="00670E90" w:rsidRPr="00670E90" w:rsidRDefault="00670E90" w:rsidP="00670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Аналіз та опис результатів обстеження із зазначенням результатів гістологічного дослідження (якщо таке проводилося).</w:t>
      </w:r>
    </w:p>
    <w:p w14:paraId="13805809" w14:textId="6E3D2FA2" w:rsidR="00670E90" w:rsidRPr="00AD621F" w:rsidRDefault="00670E90" w:rsidP="00AD621F">
      <w:pPr>
        <w:spacing w:after="0" w:line="240" w:lineRule="auto"/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</w:pPr>
      <w:r w:rsidRPr="00670E90"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  <w:br/>
      </w:r>
      <w:r w:rsidR="00AD621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uk-UA"/>
        </w:rPr>
        <w:t>4.</w:t>
      </w:r>
      <w:r w:rsidR="00AD621F">
        <w:rPr>
          <w:rFonts w:ascii="RobotoLight" w:eastAsia="Times New Roman" w:hAnsi="RobotoLight" w:cs="Times New Roman"/>
          <w:color w:val="333333"/>
          <w:sz w:val="21"/>
          <w:szCs w:val="21"/>
          <w:lang w:eastAsia="uk-UA"/>
        </w:rPr>
        <w:t xml:space="preserve"> </w:t>
      </w: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Відповідно до пункту 5 та 10  Постанови кабінету міністрів України від 5 лютого 2020 р. № 65                        </w:t>
      </w:r>
    </w:p>
    <w:p w14:paraId="3DBE1DC6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 Надавачі медичних послуг зобов’язані забезпечити наявність та застосування під час надання пацієнтам медичних послуг, що підлягають оплаті НСЗУ, всіх медичних виробів, витратних матеріалів та лікарських засобів, передбачених </w:t>
      </w:r>
      <w:hyperlink r:id="rId9" w:anchor="n15" w:tgtFrame="_blank" w:history="1">
        <w:r w:rsidRPr="00670E90">
          <w:rPr>
            <w:rFonts w:ascii="Times New Roman" w:eastAsia="Times New Roman" w:hAnsi="Times New Roman" w:cs="Times New Roman"/>
            <w:color w:val="337AB7"/>
            <w:sz w:val="30"/>
            <w:szCs w:val="30"/>
            <w:u w:val="single"/>
            <w:lang w:eastAsia="uk-UA"/>
          </w:rPr>
          <w:t>Національним переліком основних лікарських засобів</w:t>
        </w:r>
      </w:hyperlink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, затвердженим постановою Кабінету Міністрів України від 25 березня 2009 р. № 333 “Деякі питання державного регулювання цін на лікарські засоби і вироби медичного призначення” (Офіційний вісник України, 2009 р., № 27, ст. 906; 2018 р., № 4, ст. 157), необхідних для надання таких послуг відповідно до галузевих стандартів у сфері охорони здоров’я та специфікацій.</w:t>
      </w:r>
    </w:p>
    <w:p w14:paraId="4188F9DD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НСЗУ оплачує надані медичні послуги згідно з тарифами та коригувальними коефіцієнтами, визначеними в цьому Порядку, на підставі звітів про медичні послуги, що складаються в порядку, передбаченому </w:t>
      </w:r>
      <w:hyperlink r:id="rId10" w:anchor="n46" w:tgtFrame="_blank" w:history="1">
        <w:r w:rsidRPr="00670E90">
          <w:rPr>
            <w:rFonts w:ascii="Times New Roman" w:eastAsia="Times New Roman" w:hAnsi="Times New Roman" w:cs="Times New Roman"/>
            <w:color w:val="337AB7"/>
            <w:sz w:val="30"/>
            <w:szCs w:val="30"/>
            <w:u w:val="single"/>
            <w:lang w:eastAsia="uk-UA"/>
          </w:rPr>
          <w:t>Типовою формою договору про медичне обслуговування населення за програмою медичних гарантій</w:t>
        </w:r>
      </w:hyperlink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, затвердженою постановою Кабінету Міністрів України від 25 квітня 2018 р. № 410 “Про договори про медичне обслуговування населення за програмою медичних гарантій” (Офіційний вісник України, 2018 р., № 45, ст. 1570; 2020 р., № 2, ст. 59), відповідно до укладеного договору в межах бюджетних асигнувань, визначених у плані асигнувань на відповідний період за відповідним напрямом. Вимагати та отримувати оплату від пацієнтів або їх представників за такі медичні послуги забороняється.</w:t>
      </w:r>
    </w:p>
    <w:p w14:paraId="3EE67152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 xml:space="preserve">НСЗУ не оплачує медичні послуги, які </w:t>
      </w:r>
      <w:proofErr w:type="spellStart"/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оплачено</w:t>
      </w:r>
      <w:proofErr w:type="spellEnd"/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 xml:space="preserve"> за рахунок коштів інших джерел, не передбачених договором. Інформація про надані медичні послуги, які оплачуються за рахунок коштів інших джерел, не заборонених законодавством, вноситься надавачами до електронної системи охорони здоров’я.</w:t>
      </w:r>
    </w:p>
    <w:p w14:paraId="29962F0E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lastRenderedPageBreak/>
        <w:t>До тарифу на медичні послуги не включено вартість лікарських засобів, медичних виробів та витратних матеріалів, які забезпечуються у централізованому порядку за рахунок інших програм державного бюджету.</w:t>
      </w:r>
    </w:p>
    <w:p w14:paraId="019804E1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Відповідно до договору</w:t>
      </w:r>
    </w:p>
    <w:p w14:paraId="3FFFE895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Пацієнт набуває прав на отримання медичних послуг, пов’язаних з іншими видами медичної допомоги, крім первинної медичної допомоги, згідно з договором з моменту звернення до надавача за направленням лікаря, який надає первинну медичну допомогу, або лікуючого лікаря в порядку, встановленому МОЗ, або без такого направлення, якщо згідно із законодавством направлення лікаря не вимагається.</w:t>
      </w:r>
    </w:p>
    <w:p w14:paraId="578A627D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Використовуються для надання медичних послуг лікарські засоби та медичні вироби, що дозволені до застосування в Україні;</w:t>
      </w:r>
    </w:p>
    <w:p w14:paraId="72F129DA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Забезпечується надання медичних послуг насамперед усім пацієнтам, які були</w:t>
      </w:r>
    </w:p>
    <w:p w14:paraId="28DF853C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записані на прийом до лікаря (або в чергу) на отримання медичних послуг</w:t>
      </w:r>
    </w:p>
    <w:p w14:paraId="22071E26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 Співробітники закладу не мають права вимагати від пацієнтів незаконну винагороду в будь-якій</w:t>
      </w:r>
    </w:p>
    <w:p w14:paraId="061C58FF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формі, яка є попередньою чи наступною умовою для отримання пацієнтами медичних послуг, що надаються згідно з викладеними пакетами медичних гарантій.</w:t>
      </w:r>
    </w:p>
    <w:p w14:paraId="6CAD8265" w14:textId="0D0C9C3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 xml:space="preserve">У разі подання пацієнтом (його законним представником) або іншою заінтересованою особою в НСЗУ скарги про те, що надавач, працівники надавача або підрядник вимагали від пацієнта винагороду в будь-якій формі за медичні послуги, що повинні бути надані пацієнтам згідно з цих пакетів медичних гарантій, НСЗУ має право надіслати відповідну інформацію до правоохоронних органів. У разі набрання законної сили </w:t>
      </w:r>
      <w:proofErr w:type="spellStart"/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вироком</w:t>
      </w:r>
      <w:proofErr w:type="spellEnd"/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 xml:space="preserve"> суду про притягнення працівника надавача або підрядника до кримінальної відповідальності за порушення права на безоплатну медичну допомогу або у разі наявності інших достатніх підстав вважати, що така вимога мала місце, НСЗУ має право в односторонньому порядку відмовитись від подальшої співпраці з закладом.</w:t>
      </w:r>
      <w:bookmarkStart w:id="0" w:name="_GoBack"/>
      <w:bookmarkEnd w:id="0"/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У разі коли внаслідок обставин непереборної сили обсяг медичних послуг, наданих пацієнтам, значно перевищує обсяг або граничну суму оплати за договором,</w:t>
      </w:r>
    </w:p>
    <w:p w14:paraId="5770491D" w14:textId="77777777" w:rsidR="00670E90" w:rsidRPr="00670E90" w:rsidRDefault="00670E90" w:rsidP="00670E90">
      <w:pPr>
        <w:shd w:val="clear" w:color="auto" w:fill="FFFFFF"/>
        <w:spacing w:after="300" w:line="300" w:lineRule="atLeast"/>
        <w:rPr>
          <w:rFonts w:ascii="RobotoLight" w:eastAsia="Times New Roman" w:hAnsi="RobotoLight" w:cs="Times New Roman"/>
          <w:color w:val="3E3636"/>
          <w:sz w:val="21"/>
          <w:szCs w:val="21"/>
          <w:lang w:eastAsia="uk-UA"/>
        </w:rPr>
      </w:pPr>
      <w:r w:rsidRPr="00670E90">
        <w:rPr>
          <w:rFonts w:ascii="Times New Roman" w:eastAsia="Times New Roman" w:hAnsi="Times New Roman" w:cs="Times New Roman"/>
          <w:color w:val="3E3636"/>
          <w:sz w:val="30"/>
          <w:szCs w:val="30"/>
          <w:lang w:eastAsia="uk-UA"/>
        </w:rPr>
        <w:t>такі послуги не підлягають оплаті НСЗУ.</w:t>
      </w:r>
    </w:p>
    <w:p w14:paraId="4C365319" w14:textId="77777777" w:rsidR="00C26F25" w:rsidRDefault="00C26F25"/>
    <w:sectPr w:rsidR="00C26F25" w:rsidSect="00825D5A">
      <w:pgSz w:w="11906" w:h="16838"/>
      <w:pgMar w:top="851" w:right="850" w:bottom="85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Gentium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6F71"/>
    <w:multiLevelType w:val="multilevel"/>
    <w:tmpl w:val="2704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D56C9"/>
    <w:multiLevelType w:val="multilevel"/>
    <w:tmpl w:val="672E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518F8"/>
    <w:multiLevelType w:val="multilevel"/>
    <w:tmpl w:val="38A0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11024"/>
    <w:multiLevelType w:val="multilevel"/>
    <w:tmpl w:val="C30C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D3055"/>
    <w:multiLevelType w:val="multilevel"/>
    <w:tmpl w:val="CCA0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E55C1"/>
    <w:multiLevelType w:val="multilevel"/>
    <w:tmpl w:val="3E94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F54A4"/>
    <w:multiLevelType w:val="multilevel"/>
    <w:tmpl w:val="C856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52286"/>
    <w:multiLevelType w:val="multilevel"/>
    <w:tmpl w:val="6EB8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90ABD"/>
    <w:multiLevelType w:val="multilevel"/>
    <w:tmpl w:val="521E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A206E"/>
    <w:multiLevelType w:val="multilevel"/>
    <w:tmpl w:val="B1DE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E1CF1"/>
    <w:multiLevelType w:val="multilevel"/>
    <w:tmpl w:val="FB5E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8E40F2"/>
    <w:multiLevelType w:val="multilevel"/>
    <w:tmpl w:val="751C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B2FB2"/>
    <w:multiLevelType w:val="multilevel"/>
    <w:tmpl w:val="1E40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0B2C4A"/>
    <w:multiLevelType w:val="multilevel"/>
    <w:tmpl w:val="8358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7C7DDC"/>
    <w:multiLevelType w:val="multilevel"/>
    <w:tmpl w:val="6AC0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2"/>
  </w:num>
  <w:num w:numId="9">
    <w:abstractNumId w:val="10"/>
  </w:num>
  <w:num w:numId="10">
    <w:abstractNumId w:val="14"/>
  </w:num>
  <w:num w:numId="11">
    <w:abstractNumId w:val="0"/>
  </w:num>
  <w:num w:numId="12">
    <w:abstractNumId w:val="1"/>
  </w:num>
  <w:num w:numId="13">
    <w:abstractNumId w:val="1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78"/>
    <w:rsid w:val="001839FB"/>
    <w:rsid w:val="001E4878"/>
    <w:rsid w:val="0048001C"/>
    <w:rsid w:val="005B73C8"/>
    <w:rsid w:val="00670E90"/>
    <w:rsid w:val="007513D6"/>
    <w:rsid w:val="00825D5A"/>
    <w:rsid w:val="00AD621F"/>
    <w:rsid w:val="00C2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18DA"/>
  <w15:chartTrackingRefBased/>
  <w15:docId w15:val="{C7A9FB22-B7EC-4AC1-A190-AB53EA23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70E90"/>
    <w:rPr>
      <w:color w:val="0000FF"/>
      <w:u w:val="single"/>
    </w:rPr>
  </w:style>
  <w:style w:type="paragraph" w:customStyle="1" w:styleId="Default">
    <w:name w:val="Default"/>
    <w:rsid w:val="00670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839F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Strong"/>
    <w:basedOn w:val="a0"/>
    <w:uiPriority w:val="22"/>
    <w:qFormat/>
    <w:rsid w:val="00183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6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94-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68-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168-19" TargetMode="External"/><Relationship Id="rId10" Type="http://schemas.openxmlformats.org/officeDocument/2006/relationships/hyperlink" Target="https://zakon.rada.gov.ua/laws/show/410-2018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33-2009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8004</Words>
  <Characters>4563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9</cp:revision>
  <dcterms:created xsi:type="dcterms:W3CDTF">2022-01-20T06:41:00Z</dcterms:created>
  <dcterms:modified xsi:type="dcterms:W3CDTF">2024-05-21T08:21:00Z</dcterms:modified>
</cp:coreProperties>
</file>