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56" w:rsidRPr="00BD36B6" w:rsidRDefault="003C7A56" w:rsidP="00BD36B6">
      <w:pPr>
        <w:widowControl w:val="0"/>
        <w:autoSpaceDE w:val="0"/>
        <w:autoSpaceDN w:val="0"/>
        <w:spacing w:after="0" w:line="240" w:lineRule="auto"/>
        <w:jc w:val="center"/>
        <w:rPr>
          <w:rFonts w:ascii="Times New Roman" w:hAnsi="Times New Roman" w:cs="Times New Roman"/>
          <w:b/>
          <w:bCs/>
          <w:sz w:val="28"/>
          <w:szCs w:val="28"/>
          <w:lang w:val="uk-UA" w:eastAsia="en-US"/>
        </w:rPr>
      </w:pPr>
      <w:r w:rsidRPr="00BD36B6">
        <w:rPr>
          <w:rFonts w:ascii="Times New Roman" w:hAnsi="Times New Roman" w:cs="Times New Roman"/>
          <w:b/>
          <w:bCs/>
          <w:sz w:val="28"/>
          <w:szCs w:val="28"/>
          <w:lang w:val="uk-UA" w:eastAsia="en-US"/>
        </w:rPr>
        <w:t xml:space="preserve">Довідка про консультації </w:t>
      </w:r>
    </w:p>
    <w:p w:rsidR="003C7A56" w:rsidRPr="00BD36B6" w:rsidRDefault="003C7A56" w:rsidP="00BD36B6">
      <w:pPr>
        <w:widowControl w:val="0"/>
        <w:autoSpaceDE w:val="0"/>
        <w:autoSpaceDN w:val="0"/>
        <w:spacing w:after="0" w:line="240" w:lineRule="auto"/>
        <w:jc w:val="center"/>
        <w:rPr>
          <w:rFonts w:ascii="Times New Roman" w:hAnsi="Times New Roman" w:cs="Times New Roman"/>
          <w:b/>
          <w:bCs/>
          <w:sz w:val="28"/>
          <w:szCs w:val="28"/>
          <w:lang w:eastAsia="en-US"/>
        </w:rPr>
      </w:pPr>
      <w:r w:rsidRPr="00BD36B6">
        <w:rPr>
          <w:rFonts w:ascii="Times New Roman" w:hAnsi="Times New Roman" w:cs="Times New Roman"/>
          <w:b/>
          <w:bCs/>
          <w:sz w:val="28"/>
          <w:szCs w:val="28"/>
          <w:lang w:val="uk-UA" w:eastAsia="en-US"/>
        </w:rPr>
        <w:t xml:space="preserve">у рамках проведення стратегічної екологічної оцінки проєкту </w:t>
      </w:r>
    </w:p>
    <w:p w:rsidR="003C7A56" w:rsidRPr="00BD36B6" w:rsidRDefault="003C7A56" w:rsidP="00BD36B6">
      <w:pPr>
        <w:widowControl w:val="0"/>
        <w:autoSpaceDE w:val="0"/>
        <w:autoSpaceDN w:val="0"/>
        <w:spacing w:after="0" w:line="240" w:lineRule="auto"/>
        <w:jc w:val="center"/>
        <w:rPr>
          <w:rFonts w:ascii="Times New Roman" w:hAnsi="Times New Roman" w:cs="Times New Roman"/>
          <w:b/>
          <w:bCs/>
          <w:sz w:val="28"/>
          <w:szCs w:val="28"/>
          <w:lang w:val="uk-UA" w:eastAsia="en-US"/>
        </w:rPr>
      </w:pPr>
      <w:r w:rsidRPr="003D0117">
        <w:rPr>
          <w:rFonts w:ascii="Times New Roman" w:hAnsi="Times New Roman" w:cs="Times New Roman"/>
          <w:b/>
          <w:bCs/>
          <w:sz w:val="28"/>
          <w:szCs w:val="28"/>
        </w:rPr>
        <w:t>Програми е</w:t>
      </w:r>
      <w:r>
        <w:rPr>
          <w:rFonts w:ascii="Times New Roman" w:hAnsi="Times New Roman" w:cs="Times New Roman"/>
          <w:b/>
          <w:bCs/>
          <w:sz w:val="28"/>
          <w:szCs w:val="28"/>
        </w:rPr>
        <w:t>кономічного і соціального розви</w:t>
      </w:r>
      <w:r>
        <w:rPr>
          <w:rFonts w:ascii="Times New Roman" w:hAnsi="Times New Roman" w:cs="Times New Roman"/>
          <w:b/>
          <w:bCs/>
          <w:sz w:val="28"/>
          <w:szCs w:val="28"/>
          <w:lang w:val="uk-UA"/>
        </w:rPr>
        <w:t>т</w:t>
      </w:r>
      <w:r w:rsidRPr="003D0117">
        <w:rPr>
          <w:rFonts w:ascii="Times New Roman" w:hAnsi="Times New Roman" w:cs="Times New Roman"/>
          <w:b/>
          <w:bCs/>
          <w:sz w:val="28"/>
          <w:szCs w:val="28"/>
        </w:rPr>
        <w:t>ку Кременчуцької міської територіальної громади</w:t>
      </w:r>
      <w:r w:rsidRPr="003D0117">
        <w:rPr>
          <w:rFonts w:ascii="Times New Roman" w:hAnsi="Times New Roman" w:cs="Times New Roman"/>
          <w:sz w:val="28"/>
          <w:szCs w:val="28"/>
        </w:rPr>
        <w:t xml:space="preserve"> </w:t>
      </w:r>
      <w:r w:rsidRPr="003D0117">
        <w:rPr>
          <w:rFonts w:ascii="Times New Roman" w:hAnsi="Times New Roman" w:cs="Times New Roman"/>
          <w:b/>
          <w:bCs/>
          <w:sz w:val="28"/>
          <w:szCs w:val="28"/>
        </w:rPr>
        <w:t>на 2024 рік</w:t>
      </w:r>
    </w:p>
    <w:p w:rsidR="003C7A56" w:rsidRPr="00BD36B6" w:rsidRDefault="003C7A56" w:rsidP="00BD36B6">
      <w:pPr>
        <w:widowControl w:val="0"/>
        <w:autoSpaceDE w:val="0"/>
        <w:autoSpaceDN w:val="0"/>
        <w:spacing w:after="0" w:line="240" w:lineRule="auto"/>
        <w:jc w:val="center"/>
        <w:rPr>
          <w:rFonts w:ascii="Times New Roman" w:hAnsi="Times New Roman" w:cs="Times New Roman"/>
          <w:sz w:val="28"/>
          <w:szCs w:val="28"/>
          <w:lang w:val="uk-UA" w:eastAsia="en-U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1901"/>
        <w:gridCol w:w="3062"/>
        <w:gridCol w:w="3823"/>
        <w:gridCol w:w="1664"/>
        <w:gridCol w:w="4392"/>
      </w:tblGrid>
      <w:tr w:rsidR="003C7A56" w:rsidRPr="00DF19D5">
        <w:tc>
          <w:tcPr>
            <w:tcW w:w="167"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 з/п</w:t>
            </w:r>
          </w:p>
        </w:tc>
        <w:tc>
          <w:tcPr>
            <w:tcW w:w="619"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Уповноважений орган</w:t>
            </w:r>
          </w:p>
        </w:tc>
        <w:tc>
          <w:tcPr>
            <w:tcW w:w="997"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Редакція частини проєкту ДДП/звіту про СЕО, до якого висловлено зауваження (пропозиції)</w:t>
            </w:r>
          </w:p>
        </w:tc>
        <w:tc>
          <w:tcPr>
            <w:tcW w:w="1245"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Зауваження/</w:t>
            </w:r>
          </w:p>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пропозиції</w:t>
            </w:r>
          </w:p>
        </w:tc>
        <w:tc>
          <w:tcPr>
            <w:tcW w:w="542"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Спосіб врахування</w:t>
            </w:r>
          </w:p>
        </w:tc>
        <w:tc>
          <w:tcPr>
            <w:tcW w:w="1430"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Обґрунтування</w:t>
            </w:r>
          </w:p>
        </w:tc>
      </w:tr>
      <w:tr w:rsidR="003C7A56" w:rsidRPr="00DF19D5">
        <w:trPr>
          <w:trHeight w:val="406"/>
        </w:trPr>
        <w:tc>
          <w:tcPr>
            <w:tcW w:w="5000" w:type="pct"/>
            <w:gridSpan w:val="6"/>
          </w:tcPr>
          <w:p w:rsidR="003C7A56" w:rsidRPr="00DF19D5" w:rsidRDefault="003C7A56" w:rsidP="00DF19D5">
            <w:pPr>
              <w:widowControl w:val="0"/>
              <w:autoSpaceDE w:val="0"/>
              <w:autoSpaceDN w:val="0"/>
              <w:spacing w:after="0" w:line="240" w:lineRule="auto"/>
              <w:jc w:val="center"/>
              <w:rPr>
                <w:rFonts w:ascii="Times New Roman" w:hAnsi="Times New Roman" w:cs="Times New Roman"/>
                <w:b/>
                <w:bCs/>
                <w:sz w:val="24"/>
                <w:szCs w:val="24"/>
                <w:lang w:val="uk-UA" w:eastAsia="en-US"/>
              </w:rPr>
            </w:pPr>
            <w:r w:rsidRPr="00DF19D5">
              <w:rPr>
                <w:rFonts w:ascii="Times New Roman" w:hAnsi="Times New Roman" w:cs="Times New Roman"/>
                <w:b/>
                <w:bCs/>
                <w:sz w:val="24"/>
                <w:szCs w:val="24"/>
                <w:lang w:val="uk-UA" w:eastAsia="en-US"/>
              </w:rPr>
              <w:t>До звіту про СЕО</w:t>
            </w:r>
          </w:p>
        </w:tc>
      </w:tr>
      <w:tr w:rsidR="003C7A56" w:rsidRPr="00DF19D5">
        <w:trPr>
          <w:trHeight w:val="3700"/>
        </w:trPr>
        <w:tc>
          <w:tcPr>
            <w:tcW w:w="167" w:type="pct"/>
            <w:vMerge w:val="restar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1.</w:t>
            </w:r>
          </w:p>
        </w:tc>
        <w:tc>
          <w:tcPr>
            <w:tcW w:w="619" w:type="pct"/>
            <w:vMerge w:val="restart"/>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Міністерство захисту довкілля та природних ресурсів України</w:t>
            </w:r>
          </w:p>
        </w:tc>
        <w:tc>
          <w:tcPr>
            <w:tcW w:w="997" w:type="pct"/>
            <w:vMerge w:val="restart"/>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 xml:space="preserve">Звіт про СЕО </w:t>
            </w:r>
          </w:p>
        </w:tc>
        <w:tc>
          <w:tcPr>
            <w:tcW w:w="1245" w:type="pct"/>
          </w:tcPr>
          <w:p w:rsidR="003C7A56" w:rsidRPr="00DF19D5" w:rsidRDefault="003C7A56" w:rsidP="00DF19D5">
            <w:pPr>
              <w:widowControl w:val="0"/>
              <w:autoSpaceDE w:val="0"/>
              <w:autoSpaceDN w:val="0"/>
              <w:spacing w:after="0" w:line="240" w:lineRule="auto"/>
              <w:jc w:val="both"/>
              <w:rPr>
                <w:rFonts w:ascii="Times New Roman" w:hAnsi="Times New Roman" w:cs="Times New Roman"/>
                <w:b/>
                <w:bCs/>
                <w:sz w:val="24"/>
                <w:szCs w:val="24"/>
                <w:lang w:val="uk-UA" w:eastAsia="en-US"/>
              </w:rPr>
            </w:pPr>
            <w:r w:rsidRPr="00DF19D5">
              <w:rPr>
                <w:rFonts w:ascii="Times New Roman" w:hAnsi="Times New Roman" w:cs="Times New Roman"/>
                <w:b/>
                <w:bCs/>
                <w:sz w:val="24"/>
                <w:szCs w:val="24"/>
                <w:lang w:val="uk-UA" w:eastAsia="en-US"/>
              </w:rPr>
              <w:t>Зауваження і пропозиції:</w:t>
            </w:r>
          </w:p>
          <w:p w:rsidR="003C7A56" w:rsidRPr="00DF19D5" w:rsidRDefault="003C7A56" w:rsidP="00DF19D5">
            <w:pPr>
              <w:autoSpaceDE w:val="0"/>
              <w:autoSpaceDN w:val="0"/>
              <w:adjustRightInd w:val="0"/>
              <w:spacing w:after="0" w:line="240" w:lineRule="auto"/>
              <w:rPr>
                <w:rFonts w:ascii="Times New Roman" w:hAnsi="Times New Roman" w:cs="Times New Roman"/>
                <w:sz w:val="24"/>
                <w:szCs w:val="24"/>
                <w:lang w:val="uk-UA" w:eastAsia="en-US"/>
              </w:rPr>
            </w:pPr>
            <w:r w:rsidRPr="00DF19D5">
              <w:rPr>
                <w:rFonts w:ascii="TimesNewRomanPSMT Cyr" w:hAnsi="TimesNewRomanPSMT Cyr" w:cs="TimesNewRomanPSMT Cyr"/>
                <w:sz w:val="24"/>
                <w:szCs w:val="24"/>
                <w:lang w:eastAsia="en-US"/>
              </w:rPr>
              <w:t>У розділі 8 Звіту розглянуто лише одну альтернативу, а саме нульовий</w:t>
            </w:r>
            <w:r w:rsidRPr="00DF19D5">
              <w:rPr>
                <w:rFonts w:ascii="TimesNewRomanPSMT" w:hAnsi="TimesNewRomanPSMT" w:cs="TimesNewRomanPSMT"/>
                <w:sz w:val="24"/>
                <w:szCs w:val="24"/>
                <w:lang w:val="uk-UA" w:eastAsia="en-US"/>
              </w:rPr>
              <w:t xml:space="preserve"> </w:t>
            </w:r>
            <w:r w:rsidRPr="00DF19D5">
              <w:rPr>
                <w:rFonts w:ascii="TimesNewRomanPSMT Cyr" w:hAnsi="TimesNewRomanPSMT Cyr" w:cs="TimesNewRomanPSMT Cyr"/>
                <w:sz w:val="24"/>
                <w:szCs w:val="24"/>
                <w:lang w:eastAsia="en-US"/>
              </w:rPr>
              <w:t>сценарій, зазначена альтернатива «перший сценарій (базовий) – прийняття Програми» не може вважатися виправданою альтернативою Проєкту.</w:t>
            </w:r>
          </w:p>
        </w:tc>
        <w:tc>
          <w:tcPr>
            <w:tcW w:w="542" w:type="pct"/>
          </w:tcPr>
          <w:p w:rsidR="003C7A56" w:rsidRPr="00DF19D5" w:rsidRDefault="003C7A56" w:rsidP="00DF19D5">
            <w:pPr>
              <w:widowControl w:val="0"/>
              <w:autoSpaceDE w:val="0"/>
              <w:autoSpaceDN w:val="0"/>
              <w:spacing w:after="0" w:line="240" w:lineRule="auto"/>
              <w:ind w:left="-65" w:right="115" w:firstLine="138"/>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Враховано</w:t>
            </w:r>
          </w:p>
        </w:tc>
        <w:tc>
          <w:tcPr>
            <w:tcW w:w="1430" w:type="pct"/>
          </w:tcPr>
          <w:p w:rsidR="003C7A56" w:rsidRPr="00DF19D5" w:rsidRDefault="003C7A56" w:rsidP="002A69E2">
            <w:pPr>
              <w:widowControl w:val="0"/>
              <w:autoSpaceDE w:val="0"/>
              <w:autoSpaceDN w:val="0"/>
              <w:adjustRightInd w:val="0"/>
              <w:spacing w:after="0" w:line="240" w:lineRule="auto"/>
              <w:jc w:val="both"/>
              <w:rPr>
                <w:rFonts w:ascii="Times New Roman" w:hAnsi="Times New Roman" w:cs="Times New Roman"/>
                <w:sz w:val="24"/>
                <w:szCs w:val="24"/>
                <w:lang w:eastAsia="en-US"/>
              </w:rPr>
            </w:pPr>
            <w:r w:rsidRPr="00DF19D5">
              <w:rPr>
                <w:rFonts w:ascii="Times New Roman" w:hAnsi="Times New Roman" w:cs="Times New Roman"/>
                <w:sz w:val="24"/>
                <w:szCs w:val="24"/>
                <w:lang w:val="uk-UA" w:eastAsia="en-US"/>
              </w:rPr>
              <w:t xml:space="preserve">У Звіті СЕО проєкту ДДП розглянуто два сценарії – прийняття та не прийняття Стратегії та Плану заходів її реалізації. </w:t>
            </w:r>
            <w:r w:rsidRPr="00DF19D5">
              <w:rPr>
                <w:rFonts w:ascii="Times New Roman" w:hAnsi="Times New Roman" w:cs="Times New Roman"/>
                <w:sz w:val="24"/>
                <w:szCs w:val="24"/>
                <w:lang w:eastAsia="en-US"/>
              </w:rPr>
              <w:t>Попередня оцінка соціального ризику до і після реалізації запланованих заходів наступна:</w:t>
            </w:r>
          </w:p>
          <w:p w:rsidR="003C7A56" w:rsidRPr="00DF19D5" w:rsidRDefault="003C7A56" w:rsidP="00DF19D5">
            <w:pPr>
              <w:autoSpaceDE w:val="0"/>
              <w:autoSpaceDN w:val="0"/>
              <w:adjustRightInd w:val="0"/>
              <w:spacing w:after="0" w:line="240" w:lineRule="auto"/>
              <w:ind w:firstLine="720"/>
              <w:jc w:val="both"/>
              <w:rPr>
                <w:rFonts w:ascii="Times New Roman" w:hAnsi="Times New Roman" w:cs="Times New Roman"/>
                <w:sz w:val="24"/>
                <w:szCs w:val="24"/>
                <w:lang w:eastAsia="en-US"/>
              </w:rPr>
            </w:pPr>
            <w:r w:rsidRPr="00DF19D5">
              <w:rPr>
                <w:rFonts w:ascii="Times New Roman" w:hAnsi="Times New Roman" w:cs="Times New Roman"/>
                <w:sz w:val="24"/>
                <w:szCs w:val="24"/>
                <w:lang w:eastAsia="en-US"/>
              </w:rPr>
              <w:t xml:space="preserve">- до реалізації заходів – </w:t>
            </w:r>
            <w:r w:rsidRPr="00DF19D5">
              <w:rPr>
                <w:rFonts w:ascii="Times New Roman" w:hAnsi="Times New Roman" w:cs="Times New Roman"/>
                <w:sz w:val="24"/>
                <w:szCs w:val="24"/>
              </w:rPr>
              <w:t xml:space="preserve">0,0000980 </w:t>
            </w:r>
            <w:r w:rsidRPr="00DF19D5">
              <w:rPr>
                <w:rFonts w:ascii="Times New Roman" w:hAnsi="Times New Roman" w:cs="Times New Roman"/>
                <w:sz w:val="24"/>
                <w:szCs w:val="24"/>
                <w:lang w:eastAsia="en-US"/>
              </w:rPr>
              <w:t>одиниць (ризик умовно прийнятний, умовно безпечний для населення);</w:t>
            </w:r>
          </w:p>
          <w:p w:rsidR="003C7A56" w:rsidRPr="00DF19D5" w:rsidRDefault="003C7A56" w:rsidP="00DF19D5">
            <w:pPr>
              <w:autoSpaceDE w:val="0"/>
              <w:autoSpaceDN w:val="0"/>
              <w:adjustRightInd w:val="0"/>
              <w:spacing w:after="0" w:line="240" w:lineRule="auto"/>
              <w:ind w:firstLine="720"/>
              <w:jc w:val="both"/>
              <w:rPr>
                <w:rFonts w:ascii="Times New Roman" w:hAnsi="Times New Roman" w:cs="Times New Roman"/>
                <w:sz w:val="24"/>
                <w:szCs w:val="24"/>
              </w:rPr>
            </w:pPr>
            <w:r w:rsidRPr="00DF19D5">
              <w:rPr>
                <w:rFonts w:ascii="Times New Roman" w:hAnsi="Times New Roman" w:cs="Times New Roman"/>
                <w:sz w:val="24"/>
                <w:szCs w:val="24"/>
                <w:lang w:eastAsia="en-US"/>
              </w:rPr>
              <w:t xml:space="preserve">- після реалізації заходів – </w:t>
            </w:r>
            <w:r w:rsidRPr="00DF19D5">
              <w:rPr>
                <w:rFonts w:ascii="Times New Roman" w:hAnsi="Times New Roman" w:cs="Times New Roman"/>
                <w:sz w:val="24"/>
                <w:szCs w:val="24"/>
              </w:rPr>
              <w:t>0,0000055 одиниць (ризик прийнятний, безпечний для населення).</w:t>
            </w:r>
          </w:p>
        </w:tc>
      </w:tr>
      <w:tr w:rsidR="003C7A56" w:rsidRPr="002A69E2">
        <w:tc>
          <w:tcPr>
            <w:tcW w:w="167" w:type="pct"/>
            <w:vMerge/>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p>
        </w:tc>
        <w:tc>
          <w:tcPr>
            <w:tcW w:w="619"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997"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1245" w:type="pct"/>
          </w:tcPr>
          <w:p w:rsidR="003C7A56" w:rsidRPr="00DF19D5" w:rsidRDefault="003C7A56" w:rsidP="00DF19D5">
            <w:pPr>
              <w:autoSpaceDE w:val="0"/>
              <w:autoSpaceDN w:val="0"/>
              <w:adjustRightInd w:val="0"/>
              <w:spacing w:after="0" w:line="240" w:lineRule="auto"/>
              <w:rPr>
                <w:rFonts w:ascii="TimesNewRomanPSMT" w:hAnsi="TimesNewRomanPSMT" w:cs="TimesNewRomanPSMT"/>
                <w:sz w:val="24"/>
                <w:szCs w:val="24"/>
                <w:lang w:eastAsia="en-US"/>
              </w:rPr>
            </w:pPr>
            <w:r w:rsidRPr="00DF19D5">
              <w:rPr>
                <w:rFonts w:ascii="TimesNewRomanPSMT Cyr" w:hAnsi="TimesNewRomanPSMT Cyr" w:cs="TimesNewRomanPSMT Cyr"/>
                <w:sz w:val="24"/>
                <w:szCs w:val="24"/>
                <w:lang w:eastAsia="en-US"/>
              </w:rPr>
              <w:t>У Проєкті та Звіті пропонуємо додатково врахувати наявність:</w:t>
            </w:r>
          </w:p>
          <w:p w:rsidR="003C7A56" w:rsidRPr="00DF19D5" w:rsidRDefault="003C7A56" w:rsidP="00DF19D5">
            <w:pPr>
              <w:autoSpaceDE w:val="0"/>
              <w:autoSpaceDN w:val="0"/>
              <w:adjustRightInd w:val="0"/>
              <w:spacing w:after="0" w:line="240" w:lineRule="auto"/>
              <w:rPr>
                <w:rFonts w:ascii="TimesNewRomanPSMT" w:hAnsi="TimesNewRomanPSMT" w:cs="TimesNewRomanPSMT"/>
                <w:sz w:val="24"/>
                <w:szCs w:val="24"/>
                <w:lang w:eastAsia="en-US"/>
              </w:rPr>
            </w:pPr>
            <w:r w:rsidRPr="00DF19D5">
              <w:rPr>
                <w:rFonts w:ascii="TimesNewRomanPSMT Cyr" w:hAnsi="TimesNewRomanPSMT Cyr" w:cs="TimesNewRomanPSMT Cyr"/>
                <w:sz w:val="24"/>
                <w:szCs w:val="24"/>
                <w:lang w:eastAsia="en-US"/>
              </w:rPr>
              <w:t>- Національного плану управління відходами до 2030 року, затвердженого</w:t>
            </w:r>
            <w:r w:rsidRPr="00DF19D5">
              <w:rPr>
                <w:rFonts w:ascii="TimesNewRomanPSMT" w:hAnsi="TimesNewRomanPSMT" w:cs="TimesNewRomanPSMT"/>
                <w:sz w:val="24"/>
                <w:szCs w:val="24"/>
                <w:lang w:val="uk-UA" w:eastAsia="en-US"/>
              </w:rPr>
              <w:t xml:space="preserve"> </w:t>
            </w:r>
            <w:r w:rsidRPr="00DF19D5">
              <w:rPr>
                <w:rFonts w:ascii="TimesNewRomanPSMT Cyr" w:hAnsi="TimesNewRomanPSMT Cyr" w:cs="TimesNewRomanPSMT Cyr"/>
                <w:sz w:val="24"/>
                <w:szCs w:val="24"/>
                <w:lang w:eastAsia="en-US"/>
              </w:rPr>
              <w:t>розпорядженням Кабінету Міністрів України від 20.02.2019 № 117;</w:t>
            </w:r>
          </w:p>
          <w:p w:rsidR="003C7A56" w:rsidRDefault="003C7A56" w:rsidP="00DF19D5">
            <w:pPr>
              <w:autoSpaceDE w:val="0"/>
              <w:autoSpaceDN w:val="0"/>
              <w:adjustRightInd w:val="0"/>
              <w:spacing w:after="0" w:line="240" w:lineRule="auto"/>
              <w:rPr>
                <w:rFonts w:ascii="TimesNewRomanPSMT Cyr" w:hAnsi="TimesNewRomanPSMT Cyr" w:cs="TimesNewRomanPSMT Cyr"/>
                <w:sz w:val="24"/>
                <w:szCs w:val="24"/>
                <w:lang w:val="uk-UA" w:eastAsia="en-US"/>
              </w:rPr>
            </w:pPr>
            <w:r w:rsidRPr="00DF19D5">
              <w:rPr>
                <w:rFonts w:ascii="TimesNewRomanPSMT Cyr" w:hAnsi="TimesNewRomanPSMT Cyr" w:cs="TimesNewRomanPSMT Cyr"/>
                <w:sz w:val="24"/>
                <w:szCs w:val="24"/>
                <w:lang w:eastAsia="en-US"/>
              </w:rPr>
              <w:t>- Державної стратегії управління лісами України до 2035 року та операційним планом її реалізації у 2022 – 2024 роках, затверджених розпорядженням Кабінету Міністрів України від 29.12.2021 № 1777-р;</w:t>
            </w:r>
          </w:p>
          <w:p w:rsidR="003C7A56" w:rsidRPr="003E3901" w:rsidRDefault="003C7A56" w:rsidP="00DF19D5">
            <w:pPr>
              <w:autoSpaceDE w:val="0"/>
              <w:autoSpaceDN w:val="0"/>
              <w:adjustRightInd w:val="0"/>
              <w:spacing w:after="0" w:line="240" w:lineRule="auto"/>
              <w:rPr>
                <w:rFonts w:ascii="TimesNewRomanPSMT Cyr" w:hAnsi="TimesNewRomanPSMT Cyr" w:cs="TimesNewRomanPSMT Cyr"/>
                <w:sz w:val="24"/>
                <w:szCs w:val="24"/>
                <w:lang w:val="uk-UA" w:eastAsia="en-US"/>
              </w:rPr>
            </w:pPr>
            <w:r w:rsidRPr="00742DE3">
              <w:rPr>
                <w:rFonts w:ascii="TimesNewRomanPSMT Cyr" w:hAnsi="TimesNewRomanPSMT Cyr" w:cs="TimesNewRomanPSMT Cyr"/>
                <w:sz w:val="24"/>
                <w:szCs w:val="24"/>
                <w:lang w:val="uk-UA" w:eastAsia="en-US"/>
              </w:rPr>
              <w:t>- Водної стратегії України на період до 2050 року та плану її реалізації у 2022 - 2024 роках, схвалених розпорядженням Кабінету Міністрів України від 09.12.2022 № 1134.</w:t>
            </w:r>
          </w:p>
          <w:p w:rsidR="003C7A56" w:rsidRPr="002A69E2" w:rsidRDefault="003C7A56" w:rsidP="00DF19D5">
            <w:pPr>
              <w:autoSpaceDE w:val="0"/>
              <w:autoSpaceDN w:val="0"/>
              <w:adjustRightInd w:val="0"/>
              <w:spacing w:after="0" w:line="240" w:lineRule="auto"/>
              <w:rPr>
                <w:rFonts w:ascii="Times New Roman" w:hAnsi="Times New Roman" w:cs="Times New Roman"/>
                <w:sz w:val="24"/>
                <w:szCs w:val="24"/>
                <w:lang w:val="uk-UA" w:eastAsia="en-US"/>
              </w:rPr>
            </w:pPr>
            <w:r>
              <w:rPr>
                <w:rFonts w:ascii="TimesNewRomanPSMT Cyr" w:hAnsi="TimesNewRomanPSMT Cyr" w:cs="TimesNewRomanPSMT Cyr"/>
                <w:sz w:val="24"/>
                <w:szCs w:val="24"/>
                <w:lang w:val="uk-UA" w:eastAsia="en-US"/>
              </w:rPr>
              <w:t>- Врахувати необхідність забезпечення збереження у довгостроковій перспективі природних оселищ та видів природної фауни і флори, що підлягають особливій охороні в Європі та вказані у стандартних формах даних територій Смарагдової мережі.</w:t>
            </w:r>
          </w:p>
        </w:tc>
        <w:tc>
          <w:tcPr>
            <w:tcW w:w="542"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Враховано</w:t>
            </w:r>
          </w:p>
        </w:tc>
        <w:tc>
          <w:tcPr>
            <w:tcW w:w="1430" w:type="pct"/>
          </w:tcPr>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Надані пропозиції  покладені в основу формування Звіту про СЕО</w:t>
            </w: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p w:rsidR="003C7A56"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Необхідність збереження природних оселищ та видів природної флори і фауни на територіях Смарагдової мережі в межах РЛП «Кременчуцькі плавні» буде врахована у довгостроковій перспективі при включенні до Програми відповідних заходів.</w:t>
            </w:r>
          </w:p>
          <w:p w:rsidR="003C7A56" w:rsidRPr="00DF19D5"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p>
        </w:tc>
      </w:tr>
      <w:tr w:rsidR="003C7A56" w:rsidRPr="002A69E2">
        <w:trPr>
          <w:trHeight w:val="541"/>
        </w:trPr>
        <w:tc>
          <w:tcPr>
            <w:tcW w:w="167" w:type="pct"/>
            <w:vMerge w:val="restar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 xml:space="preserve">2. </w:t>
            </w:r>
          </w:p>
        </w:tc>
        <w:tc>
          <w:tcPr>
            <w:tcW w:w="619" w:type="pct"/>
            <w:vMerge w:val="restart"/>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Департамент екології та природних ресурсів Полтавської обласної військової адміністрації</w:t>
            </w:r>
          </w:p>
        </w:tc>
        <w:tc>
          <w:tcPr>
            <w:tcW w:w="997" w:type="pct"/>
            <w:vMerge w:val="restart"/>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Звіт про СЕО</w:t>
            </w:r>
          </w:p>
        </w:tc>
        <w:tc>
          <w:tcPr>
            <w:tcW w:w="1245" w:type="pct"/>
          </w:tcPr>
          <w:p w:rsidR="003C7A56" w:rsidRPr="00DF19D5" w:rsidRDefault="003C7A56" w:rsidP="00DF19D5">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b/>
                <w:bCs/>
                <w:sz w:val="24"/>
                <w:szCs w:val="24"/>
                <w:u w:val="single"/>
                <w:lang w:val="uk-UA" w:eastAsia="en-US"/>
              </w:rPr>
              <w:t>Пропозиції:</w:t>
            </w:r>
            <w:r w:rsidRPr="00DF19D5">
              <w:rPr>
                <w:rFonts w:ascii="Times New Roman" w:hAnsi="Times New Roman" w:cs="Times New Roman"/>
                <w:sz w:val="24"/>
                <w:szCs w:val="24"/>
                <w:lang w:val="uk-UA" w:eastAsia="en-US"/>
              </w:rPr>
              <w:t xml:space="preserve"> </w:t>
            </w:r>
          </w:p>
          <w:p w:rsidR="003C7A56" w:rsidRPr="00DF19D5" w:rsidRDefault="003C7A56" w:rsidP="00DF19D5">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При затвердженні ДДП врахувати наступне:</w:t>
            </w:r>
          </w:p>
          <w:p w:rsidR="003C7A56" w:rsidRPr="00DF19D5" w:rsidRDefault="003C7A56" w:rsidP="00DF19D5">
            <w:pPr>
              <w:widowControl w:val="0"/>
              <w:autoSpaceDE w:val="0"/>
              <w:autoSpaceDN w:val="0"/>
              <w:spacing w:after="0" w:line="240" w:lineRule="auto"/>
              <w:ind w:right="180"/>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1. Регіональну схему формування екологічної мережі Полтавської області яка погоджена розпорядженням Полтавської обласної державної адміністрації від 14.02.2022 №58 «Про погодження регіональної схеми формування екологічної мережі Полтавської області» та затверджена рішенням пленар-ного засідання чотирнадцятої позачергової сесії восьмого скликання Полтавської обласної ради від 26 липня 202</w:t>
            </w:r>
            <w:bookmarkStart w:id="0" w:name="_GoBack"/>
            <w:bookmarkEnd w:id="0"/>
            <w:r w:rsidRPr="00DF19D5">
              <w:rPr>
                <w:rFonts w:ascii="Times New Roman" w:hAnsi="Times New Roman" w:cs="Times New Roman"/>
                <w:sz w:val="24"/>
                <w:szCs w:val="24"/>
                <w:lang w:val="uk-UA" w:eastAsia="en-US"/>
              </w:rPr>
              <w:t>2 р. № 457 «Про затвердження регіональної схеми формування екологічної мережі Полтавської області»</w:t>
            </w:r>
          </w:p>
        </w:tc>
        <w:tc>
          <w:tcPr>
            <w:tcW w:w="542"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 xml:space="preserve">Враховано </w:t>
            </w:r>
          </w:p>
        </w:tc>
        <w:tc>
          <w:tcPr>
            <w:tcW w:w="1430" w:type="pct"/>
          </w:tcPr>
          <w:p w:rsidR="003C7A56" w:rsidRPr="00DF19D5" w:rsidRDefault="003C7A56" w:rsidP="00DF19D5">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У розділі 7 звіту СЕО проєкту ДДП «Заходи, що передбачається вжити для запобігання, зменшення та помʼякшення негативних наслідків виконання документа державного планування» визначено заходи щодо збереження та раціонального, невиснажливого використання екологічної мережі, яке регулюється Законом України «Про екологічну мережу» (ст. 76-85)</w:t>
            </w:r>
          </w:p>
        </w:tc>
      </w:tr>
      <w:tr w:rsidR="003C7A56" w:rsidRPr="00DF19D5">
        <w:tc>
          <w:tcPr>
            <w:tcW w:w="167" w:type="pct"/>
            <w:vMerge/>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p>
        </w:tc>
        <w:tc>
          <w:tcPr>
            <w:tcW w:w="619"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997"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1245" w:type="pct"/>
          </w:tcPr>
          <w:p w:rsidR="003C7A56" w:rsidRPr="00DF19D5" w:rsidRDefault="003C7A56" w:rsidP="00DF19D5">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2. Формування, збереження та раціональне, невиснажливе використання екологічної мережі, яке регулюється Законом України «Про екологічну мережу» (відповідно до пункту 4 статті 15 Закону України « Про екологічну мережу» регіональні та місцеві схеми формування екомережі, програми у сфері формування, збереження та використання екомережі є основою для розроблення усіх видів проектної документації при здійсненні землеустрою, розробці містобудівної документації, а також здійсненні господарської та іншої діяльності).</w:t>
            </w:r>
          </w:p>
        </w:tc>
        <w:tc>
          <w:tcPr>
            <w:tcW w:w="542"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Враховано</w:t>
            </w:r>
          </w:p>
        </w:tc>
        <w:tc>
          <w:tcPr>
            <w:tcW w:w="1430" w:type="pct"/>
          </w:tcPr>
          <w:p w:rsidR="003C7A56" w:rsidRPr="00DF19D5"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Надані пропозиції  покладені в основу формування Звіту про СЕО</w:t>
            </w:r>
          </w:p>
        </w:tc>
      </w:tr>
      <w:tr w:rsidR="003C7A56" w:rsidRPr="00DF19D5">
        <w:tc>
          <w:tcPr>
            <w:tcW w:w="167" w:type="pct"/>
            <w:vMerge/>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p>
        </w:tc>
        <w:tc>
          <w:tcPr>
            <w:tcW w:w="619"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997"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1245" w:type="pct"/>
          </w:tcPr>
          <w:p w:rsidR="003C7A56" w:rsidRPr="00DF19D5" w:rsidRDefault="003C7A56" w:rsidP="00DF19D5">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3) При реалізації планової діяльності забезпечити виконання вимог Закону України «Про оцінку впливу на довкілля»</w:t>
            </w:r>
          </w:p>
        </w:tc>
        <w:tc>
          <w:tcPr>
            <w:tcW w:w="542"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Враховано</w:t>
            </w:r>
          </w:p>
        </w:tc>
        <w:tc>
          <w:tcPr>
            <w:tcW w:w="1430" w:type="pct"/>
          </w:tcPr>
          <w:p w:rsidR="003C7A56" w:rsidRPr="00DF19D5" w:rsidRDefault="003C7A56" w:rsidP="002A69E2">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Надані пропозиції  покладені в основу формування Звіту про СЕО</w:t>
            </w:r>
          </w:p>
        </w:tc>
      </w:tr>
      <w:tr w:rsidR="003C7A56" w:rsidRPr="002A69E2">
        <w:tc>
          <w:tcPr>
            <w:tcW w:w="167" w:type="pct"/>
            <w:vMerge/>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p>
        </w:tc>
        <w:tc>
          <w:tcPr>
            <w:tcW w:w="619"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997" w:type="pct"/>
            <w:vMerge/>
          </w:tcPr>
          <w:p w:rsidR="003C7A56" w:rsidRPr="00DF19D5" w:rsidRDefault="003C7A56" w:rsidP="00DF19D5">
            <w:pPr>
              <w:widowControl w:val="0"/>
              <w:autoSpaceDE w:val="0"/>
              <w:autoSpaceDN w:val="0"/>
              <w:spacing w:after="0" w:line="240" w:lineRule="auto"/>
              <w:rPr>
                <w:rFonts w:ascii="Times New Roman" w:hAnsi="Times New Roman" w:cs="Times New Roman"/>
                <w:sz w:val="24"/>
                <w:szCs w:val="24"/>
                <w:lang w:val="uk-UA" w:eastAsia="en-US"/>
              </w:rPr>
            </w:pPr>
          </w:p>
        </w:tc>
        <w:tc>
          <w:tcPr>
            <w:tcW w:w="1245" w:type="pct"/>
          </w:tcPr>
          <w:p w:rsidR="003C7A56" w:rsidRPr="00DF19D5" w:rsidRDefault="003C7A56" w:rsidP="00DF19D5">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4) Розміщення і будівництво об'єктів здійснювати відповідно до вимог п.5.10 наказу МОЗ України від 19.06.1996 №173</w:t>
            </w:r>
          </w:p>
        </w:tc>
        <w:tc>
          <w:tcPr>
            <w:tcW w:w="542" w:type="pct"/>
          </w:tcPr>
          <w:p w:rsidR="003C7A56" w:rsidRPr="00DF19D5" w:rsidRDefault="003C7A56" w:rsidP="00DF19D5">
            <w:pPr>
              <w:widowControl w:val="0"/>
              <w:autoSpaceDE w:val="0"/>
              <w:autoSpaceDN w:val="0"/>
              <w:spacing w:after="0" w:line="240" w:lineRule="auto"/>
              <w:jc w:val="center"/>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Враховано</w:t>
            </w:r>
          </w:p>
        </w:tc>
        <w:tc>
          <w:tcPr>
            <w:tcW w:w="1430" w:type="pct"/>
          </w:tcPr>
          <w:p w:rsidR="003C7A56" w:rsidRPr="00DF19D5" w:rsidRDefault="003C7A56" w:rsidP="00DF19D5">
            <w:pPr>
              <w:widowControl w:val="0"/>
              <w:autoSpaceDE w:val="0"/>
              <w:autoSpaceDN w:val="0"/>
              <w:spacing w:after="0" w:line="240" w:lineRule="auto"/>
              <w:jc w:val="both"/>
              <w:rPr>
                <w:rFonts w:ascii="Times New Roman" w:hAnsi="Times New Roman" w:cs="Times New Roman"/>
                <w:sz w:val="24"/>
                <w:szCs w:val="24"/>
                <w:lang w:val="uk-UA" w:eastAsia="en-US"/>
              </w:rPr>
            </w:pPr>
            <w:r w:rsidRPr="00DF19D5">
              <w:rPr>
                <w:rFonts w:ascii="Times New Roman" w:hAnsi="Times New Roman" w:cs="Times New Roman"/>
                <w:sz w:val="24"/>
                <w:szCs w:val="24"/>
                <w:lang w:val="uk-UA" w:eastAsia="en-US"/>
              </w:rPr>
              <w:t>У розділі 7 звіту СЕО проєкту ДДП «Заходи, що передбачається вжити для запобігання, зменшення та помʼякшення негативних наслідків виконання документа державного планування» визначені завдання недопущення негативного впливу на довкілля та здоров'я населення внаслідок реалізації Стратегії відповідно вимог Закону України «Про оцінку впливу на довкілля» та наказу МОЗ України від 19.06.1996 №173 (ст. 76-85)</w:t>
            </w:r>
          </w:p>
        </w:tc>
      </w:tr>
    </w:tbl>
    <w:p w:rsidR="003C7A56" w:rsidRPr="00BD36B6" w:rsidRDefault="003C7A56" w:rsidP="00BD36B6">
      <w:pPr>
        <w:widowControl w:val="0"/>
        <w:autoSpaceDE w:val="0"/>
        <w:autoSpaceDN w:val="0"/>
        <w:spacing w:after="0" w:line="240" w:lineRule="auto"/>
        <w:rPr>
          <w:rFonts w:ascii="Times New Roman" w:hAnsi="Times New Roman" w:cs="Times New Roman"/>
          <w:lang w:val="uk-UA" w:eastAsia="en-US"/>
        </w:rPr>
      </w:pPr>
    </w:p>
    <w:p w:rsidR="003C7A56" w:rsidRPr="00742DE3" w:rsidRDefault="003C7A56">
      <w:pPr>
        <w:rPr>
          <w:lang w:val="uk-UA"/>
        </w:rPr>
      </w:pPr>
    </w:p>
    <w:sectPr w:rsidR="003C7A56" w:rsidRPr="00742DE3" w:rsidSect="000C34B2">
      <w:headerReference w:type="default" r:id="rId6"/>
      <w:pgSz w:w="16840" w:h="11910" w:orient="landscape"/>
      <w:pgMar w:top="426" w:right="403" w:bottom="567" w:left="1298" w:header="71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A56" w:rsidRDefault="003C7A56" w:rsidP="00910911">
      <w:pPr>
        <w:spacing w:after="0" w:line="240" w:lineRule="auto"/>
      </w:pPr>
      <w:r>
        <w:separator/>
      </w:r>
    </w:p>
  </w:endnote>
  <w:endnote w:type="continuationSeparator" w:id="0">
    <w:p w:rsidR="003C7A56" w:rsidRDefault="003C7A56" w:rsidP="00910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A56" w:rsidRDefault="003C7A56" w:rsidP="00910911">
      <w:pPr>
        <w:spacing w:after="0" w:line="240" w:lineRule="auto"/>
      </w:pPr>
      <w:r>
        <w:separator/>
      </w:r>
    </w:p>
  </w:footnote>
  <w:footnote w:type="continuationSeparator" w:id="0">
    <w:p w:rsidR="003C7A56" w:rsidRDefault="003C7A56" w:rsidP="009109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56" w:rsidRDefault="003C7A56">
    <w:pPr>
      <w:pStyle w:val="BodyText"/>
      <w:spacing w:line="14" w:lineRule="auto"/>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6B6"/>
    <w:rsid w:val="000C34B2"/>
    <w:rsid w:val="002A69E2"/>
    <w:rsid w:val="003C7A56"/>
    <w:rsid w:val="003D0117"/>
    <w:rsid w:val="003E3901"/>
    <w:rsid w:val="005F2796"/>
    <w:rsid w:val="006C1FFA"/>
    <w:rsid w:val="00742DE3"/>
    <w:rsid w:val="007648CE"/>
    <w:rsid w:val="00826649"/>
    <w:rsid w:val="00910911"/>
    <w:rsid w:val="00967C90"/>
    <w:rsid w:val="00A32CAE"/>
    <w:rsid w:val="00A551AD"/>
    <w:rsid w:val="00AC323C"/>
    <w:rsid w:val="00BD36B6"/>
    <w:rsid w:val="00DF19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FF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BD36B6"/>
    <w:pPr>
      <w:spacing w:after="120"/>
    </w:pPr>
  </w:style>
  <w:style w:type="character" w:customStyle="1" w:styleId="BodyTextChar">
    <w:name w:val="Body Text Char"/>
    <w:basedOn w:val="DefaultParagraphFont"/>
    <w:link w:val="BodyText"/>
    <w:uiPriority w:val="99"/>
    <w:semiHidden/>
    <w:locked/>
    <w:rsid w:val="00BD36B6"/>
    <w:rPr>
      <w:rFonts w:ascii="Calibri" w:hAnsi="Calibri" w:cs="Calibri"/>
      <w:lang w:eastAsia="ru-RU"/>
    </w:rPr>
  </w:style>
  <w:style w:type="table" w:styleId="TableGrid">
    <w:name w:val="Table Grid"/>
    <w:basedOn w:val="TableNormal"/>
    <w:uiPriority w:val="99"/>
    <w:rsid w:val="00BD36B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3</Pages>
  <Words>678</Words>
  <Characters>3868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polyarysh</cp:lastModifiedBy>
  <cp:revision>3</cp:revision>
  <cp:lastPrinted>2024-01-12T12:39:00Z</cp:lastPrinted>
  <dcterms:created xsi:type="dcterms:W3CDTF">2024-01-12T06:17:00Z</dcterms:created>
  <dcterms:modified xsi:type="dcterms:W3CDTF">2024-01-12T12:44:00Z</dcterms:modified>
</cp:coreProperties>
</file>