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5325"/>
      </w:tblGrid>
      <w:tr w:rsidR="00625273" w:rsidRPr="00625273" w:rsidTr="000C03D6">
        <w:tc>
          <w:tcPr>
            <w:tcW w:w="2972" w:type="dxa"/>
            <w:shd w:val="clear" w:color="auto" w:fill="auto"/>
            <w:tcMar>
              <w:top w:w="75" w:type="dxa"/>
              <w:left w:w="75" w:type="dxa"/>
              <w:bottom w:w="75" w:type="dxa"/>
              <w:right w:w="75" w:type="dxa"/>
            </w:tcMar>
            <w:vAlign w:val="center"/>
            <w:hideMark/>
          </w:tcPr>
          <w:p w:rsidR="00625273" w:rsidRPr="00625273" w:rsidRDefault="00625273" w:rsidP="00625273">
            <w:pPr>
              <w:jc w:val="both"/>
              <w:rPr>
                <w:rFonts w:ascii="Arial" w:hAnsi="Arial" w:cs="Arial"/>
                <w:sz w:val="20"/>
                <w:lang w:eastAsia="ru-RU"/>
              </w:rPr>
            </w:pPr>
            <w:bookmarkStart w:id="0" w:name="_GoBack"/>
            <w:bookmarkEnd w:id="0"/>
            <w:r w:rsidRPr="00625273">
              <w:rPr>
                <w:rFonts w:ascii="Arial" w:hAnsi="Arial" w:cs="Arial"/>
                <w:b/>
                <w:bCs/>
                <w:sz w:val="20"/>
                <w:lang w:eastAsia="ru-RU"/>
              </w:rPr>
              <w:t>Project name</w:t>
            </w:r>
          </w:p>
        </w:tc>
        <w:tc>
          <w:tcPr>
            <w:tcW w:w="5325" w:type="dxa"/>
            <w:shd w:val="clear" w:color="auto" w:fill="auto"/>
            <w:tcMar>
              <w:top w:w="75" w:type="dxa"/>
              <w:left w:w="75" w:type="dxa"/>
              <w:bottom w:w="75" w:type="dxa"/>
              <w:right w:w="75" w:type="dxa"/>
            </w:tcMar>
            <w:vAlign w:val="center"/>
            <w:hideMark/>
          </w:tcPr>
          <w:p w:rsidR="00625273" w:rsidRPr="00625273" w:rsidRDefault="00625273" w:rsidP="00625273">
            <w:pPr>
              <w:jc w:val="both"/>
              <w:rPr>
                <w:rFonts w:ascii="Arial" w:hAnsi="Arial" w:cs="Arial"/>
                <w:sz w:val="20"/>
                <w:lang w:eastAsia="ru-RU"/>
              </w:rPr>
            </w:pPr>
            <w:r w:rsidRPr="00625273">
              <w:rPr>
                <w:rFonts w:ascii="Arial" w:hAnsi="Arial" w:cs="Arial"/>
                <w:sz w:val="20"/>
                <w:lang w:eastAsia="ru-RU"/>
              </w:rPr>
              <w:t>Kremenchuk Public Buildings Energy Efficiency</w:t>
            </w:r>
          </w:p>
        </w:tc>
      </w:tr>
      <w:tr w:rsidR="00625273" w:rsidRPr="00625273" w:rsidTr="000C03D6">
        <w:tc>
          <w:tcPr>
            <w:tcW w:w="2972" w:type="dxa"/>
            <w:shd w:val="clear" w:color="auto" w:fill="auto"/>
            <w:tcMar>
              <w:top w:w="75" w:type="dxa"/>
              <w:left w:w="75" w:type="dxa"/>
              <w:bottom w:w="75" w:type="dxa"/>
              <w:right w:w="75" w:type="dxa"/>
            </w:tcMar>
            <w:vAlign w:val="center"/>
          </w:tcPr>
          <w:p w:rsidR="00625273" w:rsidRPr="00625273" w:rsidRDefault="00625273" w:rsidP="00625273">
            <w:pPr>
              <w:jc w:val="both"/>
              <w:rPr>
                <w:rFonts w:ascii="Arial" w:hAnsi="Arial" w:cs="Arial"/>
                <w:b/>
                <w:bCs/>
                <w:sz w:val="20"/>
                <w:lang w:eastAsia="ru-RU"/>
              </w:rPr>
            </w:pPr>
            <w:r w:rsidRPr="00625273">
              <w:rPr>
                <w:rFonts w:ascii="Arial" w:hAnsi="Arial" w:cs="Arial"/>
                <w:b/>
                <w:bCs/>
                <w:sz w:val="20"/>
                <w:lang w:eastAsia="ru-RU"/>
              </w:rPr>
              <w:t xml:space="preserve">Location </w:t>
            </w:r>
          </w:p>
        </w:tc>
        <w:tc>
          <w:tcPr>
            <w:tcW w:w="5325" w:type="dxa"/>
            <w:shd w:val="clear" w:color="auto" w:fill="auto"/>
            <w:tcMar>
              <w:top w:w="75" w:type="dxa"/>
              <w:left w:w="75" w:type="dxa"/>
              <w:bottom w:w="75" w:type="dxa"/>
              <w:right w:w="75" w:type="dxa"/>
            </w:tcMar>
            <w:vAlign w:val="center"/>
          </w:tcPr>
          <w:p w:rsidR="00625273" w:rsidRPr="00625273" w:rsidRDefault="00625273" w:rsidP="00625273">
            <w:pPr>
              <w:jc w:val="both"/>
              <w:rPr>
                <w:rFonts w:ascii="Arial" w:hAnsi="Arial" w:cs="Arial"/>
                <w:sz w:val="20"/>
                <w:lang w:eastAsia="ru-RU"/>
              </w:rPr>
            </w:pPr>
            <w:r w:rsidRPr="00625273">
              <w:rPr>
                <w:rFonts w:ascii="Arial" w:hAnsi="Arial" w:cs="Arial"/>
                <w:sz w:val="20"/>
                <w:lang w:eastAsia="ru-RU"/>
              </w:rPr>
              <w:t>Ukraine</w:t>
            </w:r>
          </w:p>
        </w:tc>
      </w:tr>
      <w:tr w:rsidR="00625273" w:rsidRPr="00625273" w:rsidTr="000C03D6">
        <w:tc>
          <w:tcPr>
            <w:tcW w:w="2972" w:type="dxa"/>
            <w:shd w:val="clear" w:color="auto" w:fill="auto"/>
            <w:tcMar>
              <w:top w:w="75" w:type="dxa"/>
              <w:left w:w="75" w:type="dxa"/>
              <w:bottom w:w="75" w:type="dxa"/>
              <w:right w:w="75" w:type="dxa"/>
            </w:tcMar>
            <w:vAlign w:val="center"/>
          </w:tcPr>
          <w:p w:rsidR="00625273" w:rsidRPr="00625273" w:rsidRDefault="00625273" w:rsidP="00625273">
            <w:pPr>
              <w:jc w:val="both"/>
              <w:rPr>
                <w:rFonts w:ascii="Arial" w:hAnsi="Arial" w:cs="Arial"/>
                <w:sz w:val="20"/>
                <w:lang w:eastAsia="ru-RU"/>
              </w:rPr>
            </w:pPr>
            <w:r w:rsidRPr="00625273">
              <w:rPr>
                <w:rFonts w:ascii="Arial" w:hAnsi="Arial" w:cs="Arial"/>
                <w:b/>
                <w:bCs/>
                <w:sz w:val="20"/>
                <w:lang w:eastAsia="ru-RU"/>
              </w:rPr>
              <w:t>Business sector:</w:t>
            </w:r>
          </w:p>
        </w:tc>
        <w:tc>
          <w:tcPr>
            <w:tcW w:w="5325" w:type="dxa"/>
            <w:shd w:val="clear" w:color="auto" w:fill="auto"/>
            <w:tcMar>
              <w:top w:w="75" w:type="dxa"/>
              <w:left w:w="75" w:type="dxa"/>
              <w:bottom w:w="75" w:type="dxa"/>
              <w:right w:w="75" w:type="dxa"/>
            </w:tcMar>
            <w:vAlign w:val="center"/>
          </w:tcPr>
          <w:p w:rsidR="00625273" w:rsidRPr="00625273" w:rsidRDefault="00625273" w:rsidP="00625273">
            <w:pPr>
              <w:jc w:val="both"/>
              <w:rPr>
                <w:rFonts w:ascii="Arial" w:hAnsi="Arial" w:cs="Arial"/>
                <w:sz w:val="20"/>
                <w:lang w:eastAsia="ru-RU"/>
              </w:rPr>
            </w:pPr>
            <w:r w:rsidRPr="00625273">
              <w:rPr>
                <w:rFonts w:ascii="Arial" w:hAnsi="Arial" w:cs="Arial"/>
                <w:sz w:val="20"/>
                <w:lang w:eastAsia="ru-RU"/>
              </w:rPr>
              <w:t>Municipal and Environmental Infrastructure</w:t>
            </w:r>
          </w:p>
        </w:tc>
      </w:tr>
      <w:tr w:rsidR="00625273" w:rsidRPr="00625273" w:rsidTr="000C03D6">
        <w:tc>
          <w:tcPr>
            <w:tcW w:w="2972" w:type="dxa"/>
            <w:shd w:val="clear" w:color="auto" w:fill="auto"/>
            <w:tcMar>
              <w:top w:w="75" w:type="dxa"/>
              <w:left w:w="75" w:type="dxa"/>
              <w:bottom w:w="75" w:type="dxa"/>
              <w:right w:w="75" w:type="dxa"/>
            </w:tcMar>
            <w:vAlign w:val="center"/>
          </w:tcPr>
          <w:p w:rsidR="00625273" w:rsidRPr="00625273" w:rsidRDefault="00625273" w:rsidP="00625273">
            <w:pPr>
              <w:jc w:val="both"/>
              <w:rPr>
                <w:rFonts w:ascii="Arial" w:hAnsi="Arial" w:cs="Arial"/>
                <w:b/>
                <w:bCs/>
                <w:sz w:val="20"/>
                <w:lang w:eastAsia="ru-RU"/>
              </w:rPr>
            </w:pPr>
            <w:r w:rsidRPr="00625273">
              <w:rPr>
                <w:rFonts w:ascii="Arial" w:hAnsi="Arial" w:cs="Arial"/>
                <w:b/>
                <w:bCs/>
                <w:sz w:val="20"/>
                <w:lang w:eastAsia="ru-RU"/>
              </w:rPr>
              <w:t>Project number</w:t>
            </w:r>
          </w:p>
        </w:tc>
        <w:tc>
          <w:tcPr>
            <w:tcW w:w="5325" w:type="dxa"/>
            <w:shd w:val="clear" w:color="auto" w:fill="auto"/>
            <w:tcMar>
              <w:top w:w="75" w:type="dxa"/>
              <w:left w:w="75" w:type="dxa"/>
              <w:bottom w:w="75" w:type="dxa"/>
              <w:right w:w="75" w:type="dxa"/>
            </w:tcMar>
            <w:vAlign w:val="center"/>
          </w:tcPr>
          <w:p w:rsidR="00625273" w:rsidRPr="00625273" w:rsidRDefault="00625273" w:rsidP="00625273">
            <w:pPr>
              <w:jc w:val="both"/>
              <w:rPr>
                <w:rFonts w:ascii="Arial" w:hAnsi="Arial" w:cs="Arial"/>
                <w:sz w:val="20"/>
                <w:lang w:eastAsia="ru-RU"/>
              </w:rPr>
            </w:pPr>
            <w:r w:rsidRPr="00625273">
              <w:rPr>
                <w:rFonts w:ascii="Arial" w:hAnsi="Arial" w:cs="Arial"/>
                <w:sz w:val="20"/>
                <w:lang w:eastAsia="ru-RU"/>
              </w:rPr>
              <w:t>48019</w:t>
            </w:r>
          </w:p>
        </w:tc>
      </w:tr>
      <w:tr w:rsidR="00625273" w:rsidRPr="00625273" w:rsidTr="000C03D6">
        <w:tc>
          <w:tcPr>
            <w:tcW w:w="2972" w:type="dxa"/>
            <w:shd w:val="clear" w:color="auto" w:fill="auto"/>
            <w:tcMar>
              <w:top w:w="75" w:type="dxa"/>
              <w:left w:w="75" w:type="dxa"/>
              <w:bottom w:w="75" w:type="dxa"/>
              <w:right w:w="75" w:type="dxa"/>
            </w:tcMar>
            <w:vAlign w:val="center"/>
            <w:hideMark/>
          </w:tcPr>
          <w:p w:rsidR="00625273" w:rsidRPr="00625273" w:rsidRDefault="00625273" w:rsidP="00625273">
            <w:pPr>
              <w:jc w:val="both"/>
              <w:rPr>
                <w:rFonts w:ascii="Arial" w:hAnsi="Arial" w:cs="Arial"/>
                <w:sz w:val="20"/>
                <w:lang w:eastAsia="ru-RU"/>
              </w:rPr>
            </w:pPr>
            <w:r w:rsidRPr="00625273">
              <w:rPr>
                <w:rFonts w:ascii="Arial" w:hAnsi="Arial" w:cs="Arial"/>
                <w:b/>
                <w:bCs/>
                <w:sz w:val="20"/>
                <w:lang w:eastAsia="ru-RU"/>
              </w:rPr>
              <w:t>Funding source</w:t>
            </w:r>
          </w:p>
        </w:tc>
        <w:tc>
          <w:tcPr>
            <w:tcW w:w="5325" w:type="dxa"/>
            <w:shd w:val="clear" w:color="auto" w:fill="auto"/>
            <w:tcMar>
              <w:top w:w="75" w:type="dxa"/>
              <w:left w:w="75" w:type="dxa"/>
              <w:bottom w:w="75" w:type="dxa"/>
              <w:right w:w="75" w:type="dxa"/>
            </w:tcMar>
            <w:vAlign w:val="center"/>
            <w:hideMark/>
          </w:tcPr>
          <w:p w:rsidR="00625273" w:rsidRPr="00625273" w:rsidRDefault="00625273" w:rsidP="00625273">
            <w:pPr>
              <w:jc w:val="both"/>
              <w:rPr>
                <w:rFonts w:ascii="Arial" w:hAnsi="Arial" w:cs="Arial"/>
                <w:sz w:val="20"/>
                <w:lang w:val="en-US" w:eastAsia="ru-RU"/>
              </w:rPr>
            </w:pPr>
            <w:r w:rsidRPr="00625273">
              <w:rPr>
                <w:rFonts w:ascii="Arial" w:hAnsi="Arial" w:cs="Arial"/>
                <w:sz w:val="20"/>
                <w:lang w:eastAsia="ru-RU"/>
              </w:rPr>
              <w:t>EBRD, CTF</w:t>
            </w:r>
          </w:p>
        </w:tc>
      </w:tr>
      <w:tr w:rsidR="00625273" w:rsidRPr="00625273" w:rsidTr="000C03D6">
        <w:tc>
          <w:tcPr>
            <w:tcW w:w="2972" w:type="dxa"/>
            <w:shd w:val="clear" w:color="auto" w:fill="auto"/>
            <w:tcMar>
              <w:top w:w="75" w:type="dxa"/>
              <w:left w:w="75" w:type="dxa"/>
              <w:bottom w:w="75" w:type="dxa"/>
              <w:right w:w="75" w:type="dxa"/>
            </w:tcMar>
            <w:vAlign w:val="center"/>
            <w:hideMark/>
          </w:tcPr>
          <w:p w:rsidR="00625273" w:rsidRPr="00625273" w:rsidRDefault="00625273" w:rsidP="00625273">
            <w:pPr>
              <w:jc w:val="both"/>
              <w:rPr>
                <w:rFonts w:ascii="Arial" w:hAnsi="Arial" w:cs="Arial"/>
                <w:sz w:val="20"/>
                <w:lang w:eastAsia="ru-RU"/>
              </w:rPr>
            </w:pPr>
            <w:r w:rsidRPr="00625273">
              <w:rPr>
                <w:rFonts w:ascii="Arial" w:hAnsi="Arial" w:cs="Arial"/>
                <w:b/>
                <w:bCs/>
                <w:sz w:val="20"/>
                <w:lang w:eastAsia="ru-RU"/>
              </w:rPr>
              <w:t>Contract type</w:t>
            </w:r>
          </w:p>
        </w:tc>
        <w:tc>
          <w:tcPr>
            <w:tcW w:w="5325" w:type="dxa"/>
            <w:shd w:val="clear" w:color="auto" w:fill="auto"/>
            <w:tcMar>
              <w:top w:w="75" w:type="dxa"/>
              <w:left w:w="75" w:type="dxa"/>
              <w:bottom w:w="75" w:type="dxa"/>
              <w:right w:w="75" w:type="dxa"/>
            </w:tcMar>
            <w:vAlign w:val="center"/>
            <w:hideMark/>
          </w:tcPr>
          <w:p w:rsidR="00625273" w:rsidRPr="00625273" w:rsidRDefault="00625273" w:rsidP="00625273">
            <w:pPr>
              <w:jc w:val="both"/>
              <w:rPr>
                <w:rFonts w:ascii="Arial" w:hAnsi="Arial" w:cs="Arial"/>
                <w:sz w:val="20"/>
                <w:lang w:eastAsia="ru-RU"/>
              </w:rPr>
            </w:pPr>
            <w:r w:rsidRPr="00625273">
              <w:rPr>
                <w:rFonts w:ascii="Arial" w:hAnsi="Arial" w:cs="Arial"/>
                <w:sz w:val="20"/>
                <w:lang w:eastAsia="ru-RU"/>
              </w:rPr>
              <w:t xml:space="preserve">Works, goods and services </w:t>
            </w:r>
          </w:p>
        </w:tc>
      </w:tr>
      <w:tr w:rsidR="00625273" w:rsidRPr="00625273" w:rsidTr="000C03D6">
        <w:tc>
          <w:tcPr>
            <w:tcW w:w="2972" w:type="dxa"/>
            <w:shd w:val="clear" w:color="auto" w:fill="auto"/>
            <w:tcMar>
              <w:top w:w="75" w:type="dxa"/>
              <w:left w:w="75" w:type="dxa"/>
              <w:bottom w:w="75" w:type="dxa"/>
              <w:right w:w="75" w:type="dxa"/>
            </w:tcMar>
            <w:vAlign w:val="center"/>
            <w:hideMark/>
          </w:tcPr>
          <w:p w:rsidR="00625273" w:rsidRPr="00625273" w:rsidRDefault="00625273" w:rsidP="00625273">
            <w:pPr>
              <w:jc w:val="both"/>
              <w:rPr>
                <w:rFonts w:ascii="Arial" w:hAnsi="Arial" w:cs="Arial"/>
                <w:sz w:val="20"/>
                <w:lang w:eastAsia="ru-RU"/>
              </w:rPr>
            </w:pPr>
            <w:r w:rsidRPr="00625273">
              <w:rPr>
                <w:rFonts w:ascii="Arial" w:hAnsi="Arial" w:cs="Arial"/>
                <w:b/>
                <w:bCs/>
                <w:sz w:val="20"/>
                <w:lang w:eastAsia="ru-RU"/>
              </w:rPr>
              <w:t>Notice type</w:t>
            </w:r>
          </w:p>
        </w:tc>
        <w:tc>
          <w:tcPr>
            <w:tcW w:w="5325" w:type="dxa"/>
            <w:shd w:val="clear" w:color="auto" w:fill="auto"/>
            <w:tcMar>
              <w:top w:w="75" w:type="dxa"/>
              <w:left w:w="75" w:type="dxa"/>
              <w:bottom w:w="75" w:type="dxa"/>
              <w:right w:w="75" w:type="dxa"/>
            </w:tcMar>
            <w:vAlign w:val="center"/>
            <w:hideMark/>
          </w:tcPr>
          <w:p w:rsidR="00625273" w:rsidRPr="00625273" w:rsidRDefault="00625273" w:rsidP="00625273">
            <w:pPr>
              <w:jc w:val="both"/>
              <w:rPr>
                <w:rFonts w:ascii="Arial" w:hAnsi="Arial" w:cs="Arial"/>
                <w:sz w:val="20"/>
                <w:lang w:eastAsia="ru-RU"/>
              </w:rPr>
            </w:pPr>
            <w:r>
              <w:rPr>
                <w:rFonts w:ascii="Arial" w:hAnsi="Arial" w:cs="Arial"/>
                <w:sz w:val="20"/>
                <w:lang w:eastAsia="ru-RU"/>
              </w:rPr>
              <w:t>Invitation for Tenders</w:t>
            </w:r>
            <w:r w:rsidRPr="00625273">
              <w:rPr>
                <w:rFonts w:ascii="Arial" w:hAnsi="Arial" w:cs="Arial"/>
                <w:sz w:val="20"/>
                <w:lang w:eastAsia="ru-RU"/>
              </w:rPr>
              <w:t xml:space="preserve"> </w:t>
            </w:r>
          </w:p>
        </w:tc>
      </w:tr>
      <w:tr w:rsidR="00625273" w:rsidRPr="00625273" w:rsidTr="000C03D6">
        <w:tc>
          <w:tcPr>
            <w:tcW w:w="2972" w:type="dxa"/>
            <w:shd w:val="clear" w:color="auto" w:fill="auto"/>
            <w:tcMar>
              <w:top w:w="75" w:type="dxa"/>
              <w:left w:w="75" w:type="dxa"/>
              <w:bottom w:w="75" w:type="dxa"/>
              <w:right w:w="75" w:type="dxa"/>
            </w:tcMar>
            <w:vAlign w:val="center"/>
            <w:hideMark/>
          </w:tcPr>
          <w:p w:rsidR="00625273" w:rsidRPr="00625273" w:rsidRDefault="00625273" w:rsidP="00625273">
            <w:pPr>
              <w:jc w:val="both"/>
              <w:rPr>
                <w:rFonts w:ascii="Arial" w:hAnsi="Arial" w:cs="Arial"/>
                <w:sz w:val="20"/>
                <w:lang w:eastAsia="ru-RU"/>
              </w:rPr>
            </w:pPr>
            <w:r w:rsidRPr="00625273">
              <w:rPr>
                <w:rFonts w:ascii="Arial" w:hAnsi="Arial" w:cs="Arial"/>
                <w:b/>
                <w:bCs/>
                <w:sz w:val="20"/>
                <w:lang w:eastAsia="ru-RU"/>
              </w:rPr>
              <w:t>Issue date</w:t>
            </w:r>
          </w:p>
        </w:tc>
        <w:tc>
          <w:tcPr>
            <w:tcW w:w="5325" w:type="dxa"/>
            <w:shd w:val="clear" w:color="auto" w:fill="auto"/>
            <w:tcMar>
              <w:top w:w="75" w:type="dxa"/>
              <w:left w:w="75" w:type="dxa"/>
              <w:bottom w:w="75" w:type="dxa"/>
              <w:right w:w="75" w:type="dxa"/>
            </w:tcMar>
            <w:vAlign w:val="center"/>
            <w:hideMark/>
          </w:tcPr>
          <w:p w:rsidR="00625273" w:rsidRPr="00625273" w:rsidRDefault="00C37A89" w:rsidP="00625273">
            <w:pPr>
              <w:jc w:val="both"/>
              <w:rPr>
                <w:rFonts w:ascii="Arial" w:hAnsi="Arial" w:cs="Arial"/>
                <w:sz w:val="20"/>
                <w:lang w:eastAsia="ru-RU"/>
              </w:rPr>
            </w:pPr>
            <w:r>
              <w:rPr>
                <w:rFonts w:ascii="Arial" w:hAnsi="Arial" w:cs="Arial"/>
                <w:sz w:val="20"/>
                <w:lang w:eastAsia="ru-RU"/>
              </w:rPr>
              <w:t>08</w:t>
            </w:r>
            <w:r w:rsidR="00367354">
              <w:rPr>
                <w:rFonts w:ascii="Arial" w:hAnsi="Arial" w:cs="Arial"/>
                <w:sz w:val="20"/>
                <w:lang w:eastAsia="ru-RU"/>
              </w:rPr>
              <w:t>.11</w:t>
            </w:r>
            <w:r w:rsidR="00625273">
              <w:rPr>
                <w:rFonts w:ascii="Arial" w:hAnsi="Arial" w:cs="Arial"/>
                <w:sz w:val="20"/>
                <w:lang w:eastAsia="ru-RU"/>
              </w:rPr>
              <w:t>.2019</w:t>
            </w:r>
          </w:p>
        </w:tc>
      </w:tr>
      <w:tr w:rsidR="00625273" w:rsidRPr="00625273" w:rsidTr="000C03D6">
        <w:tc>
          <w:tcPr>
            <w:tcW w:w="2972" w:type="dxa"/>
            <w:shd w:val="clear" w:color="auto" w:fill="auto"/>
            <w:tcMar>
              <w:top w:w="75" w:type="dxa"/>
              <w:left w:w="75" w:type="dxa"/>
              <w:bottom w:w="75" w:type="dxa"/>
              <w:right w:w="75" w:type="dxa"/>
            </w:tcMar>
            <w:vAlign w:val="center"/>
            <w:hideMark/>
          </w:tcPr>
          <w:p w:rsidR="00625273" w:rsidRPr="00625273" w:rsidRDefault="00625273" w:rsidP="00625273">
            <w:pPr>
              <w:jc w:val="both"/>
              <w:rPr>
                <w:rFonts w:ascii="Arial" w:hAnsi="Arial" w:cs="Arial"/>
                <w:sz w:val="20"/>
                <w:lang w:eastAsia="ru-RU"/>
              </w:rPr>
            </w:pPr>
            <w:r w:rsidRPr="00625273">
              <w:rPr>
                <w:rFonts w:ascii="Arial" w:hAnsi="Arial" w:cs="Arial"/>
                <w:b/>
                <w:bCs/>
                <w:sz w:val="20"/>
                <w:lang w:eastAsia="ru-RU"/>
              </w:rPr>
              <w:t>Closing date</w:t>
            </w:r>
          </w:p>
        </w:tc>
        <w:tc>
          <w:tcPr>
            <w:tcW w:w="5325" w:type="dxa"/>
            <w:shd w:val="clear" w:color="auto" w:fill="auto"/>
            <w:tcMar>
              <w:top w:w="75" w:type="dxa"/>
              <w:left w:w="75" w:type="dxa"/>
              <w:bottom w:w="75" w:type="dxa"/>
              <w:right w:w="75" w:type="dxa"/>
            </w:tcMar>
            <w:vAlign w:val="center"/>
            <w:hideMark/>
          </w:tcPr>
          <w:p w:rsidR="00625273" w:rsidRPr="00625273" w:rsidRDefault="00C37A89" w:rsidP="00550943">
            <w:pPr>
              <w:jc w:val="both"/>
              <w:rPr>
                <w:rFonts w:ascii="Arial" w:hAnsi="Arial" w:cs="Arial"/>
                <w:sz w:val="20"/>
                <w:lang w:eastAsia="ru-RU"/>
              </w:rPr>
            </w:pPr>
            <w:r w:rsidRPr="00C37A89">
              <w:rPr>
                <w:rFonts w:ascii="Arial" w:hAnsi="Arial" w:cs="Arial"/>
                <w:sz w:val="20"/>
                <w:lang w:eastAsia="ru-RU"/>
              </w:rPr>
              <w:t>2</w:t>
            </w:r>
            <w:r w:rsidR="00550943">
              <w:rPr>
                <w:rFonts w:ascii="Arial" w:hAnsi="Arial" w:cs="Arial"/>
                <w:sz w:val="20"/>
                <w:lang w:eastAsia="ru-RU"/>
              </w:rPr>
              <w:t>2</w:t>
            </w:r>
            <w:r w:rsidR="00367354" w:rsidRPr="00C37A89">
              <w:rPr>
                <w:rFonts w:ascii="Arial" w:hAnsi="Arial" w:cs="Arial"/>
                <w:sz w:val="20"/>
                <w:lang w:eastAsia="ru-RU"/>
              </w:rPr>
              <w:t>.</w:t>
            </w:r>
            <w:r w:rsidRPr="00C37A89">
              <w:rPr>
                <w:rFonts w:ascii="Arial" w:hAnsi="Arial" w:cs="Arial"/>
                <w:sz w:val="20"/>
                <w:lang w:eastAsia="ru-RU"/>
              </w:rPr>
              <w:t>01</w:t>
            </w:r>
            <w:r w:rsidR="00625273">
              <w:rPr>
                <w:rFonts w:ascii="Arial" w:hAnsi="Arial" w:cs="Arial"/>
                <w:sz w:val="20"/>
                <w:lang w:eastAsia="ru-RU"/>
              </w:rPr>
              <w:t>.20</w:t>
            </w:r>
            <w:r w:rsidR="00367354">
              <w:rPr>
                <w:rFonts w:ascii="Arial" w:hAnsi="Arial" w:cs="Arial"/>
                <w:sz w:val="20"/>
                <w:lang w:eastAsia="ru-RU"/>
              </w:rPr>
              <w:t>20</w:t>
            </w:r>
            <w:r w:rsidR="00625273">
              <w:rPr>
                <w:rFonts w:ascii="Arial" w:hAnsi="Arial" w:cs="Arial"/>
                <w:sz w:val="20"/>
                <w:lang w:eastAsia="ru-RU"/>
              </w:rPr>
              <w:t xml:space="preserve"> at 16:00 local time</w:t>
            </w:r>
          </w:p>
        </w:tc>
      </w:tr>
    </w:tbl>
    <w:p w:rsidR="00625273" w:rsidRPr="00625273" w:rsidRDefault="00625273" w:rsidP="00625273">
      <w:pPr>
        <w:numPr>
          <w:ilvl w:val="12"/>
          <w:numId w:val="0"/>
        </w:numPr>
        <w:jc w:val="both"/>
        <w:rPr>
          <w:rFonts w:ascii="Arial" w:hAnsi="Arial" w:cs="Arial"/>
          <w:sz w:val="20"/>
          <w:lang w:val="en-US" w:eastAsia="ru-RU"/>
        </w:rPr>
      </w:pPr>
    </w:p>
    <w:p w:rsidR="00625273" w:rsidRPr="00367354" w:rsidRDefault="00625273" w:rsidP="00625273">
      <w:pPr>
        <w:numPr>
          <w:ilvl w:val="12"/>
          <w:numId w:val="0"/>
        </w:numPr>
        <w:jc w:val="both"/>
        <w:rPr>
          <w:rFonts w:ascii="Arial" w:hAnsi="Arial" w:cs="Arial"/>
          <w:caps/>
          <w:sz w:val="20"/>
          <w:lang w:val="en-US" w:eastAsia="ru-RU"/>
        </w:rPr>
      </w:pPr>
      <w:r w:rsidRPr="00367354">
        <w:rPr>
          <w:rFonts w:ascii="Arial" w:hAnsi="Arial" w:cs="Arial"/>
          <w:b/>
          <w:caps/>
          <w:sz w:val="20"/>
          <w:lang w:val="en-US" w:eastAsia="ru-RU"/>
        </w:rPr>
        <w:t>Energy efficiency improvement of public buildings in Kremenchuk, including 38 kindergartens</w:t>
      </w:r>
      <w:r w:rsidR="00EE5D20">
        <w:rPr>
          <w:rFonts w:ascii="Arial" w:hAnsi="Arial" w:cs="Arial"/>
          <w:b/>
          <w:caps/>
          <w:sz w:val="20"/>
          <w:lang w:val="en-US" w:eastAsia="ru-RU"/>
        </w:rPr>
        <w:t xml:space="preserve"> (38 facilities)</w:t>
      </w:r>
      <w:r w:rsidRPr="00367354">
        <w:rPr>
          <w:rFonts w:ascii="Arial" w:hAnsi="Arial" w:cs="Arial"/>
          <w:b/>
          <w:caps/>
          <w:sz w:val="20"/>
          <w:lang w:val="en-US" w:eastAsia="ru-RU"/>
        </w:rPr>
        <w:t xml:space="preserve">, 23 schools </w:t>
      </w:r>
      <w:r w:rsidR="00EE5D20">
        <w:rPr>
          <w:rFonts w:ascii="Arial" w:hAnsi="Arial" w:cs="Arial"/>
          <w:b/>
          <w:caps/>
          <w:sz w:val="20"/>
          <w:lang w:val="en-US" w:eastAsia="ru-RU"/>
        </w:rPr>
        <w:t xml:space="preserve">(23 facilities) </w:t>
      </w:r>
      <w:r w:rsidRPr="00367354">
        <w:rPr>
          <w:rFonts w:ascii="Arial" w:hAnsi="Arial" w:cs="Arial"/>
          <w:b/>
          <w:caps/>
          <w:sz w:val="20"/>
          <w:lang w:val="en-US" w:eastAsia="ru-RU"/>
        </w:rPr>
        <w:t xml:space="preserve">and </w:t>
      </w:r>
      <w:r w:rsidR="00302EE6">
        <w:rPr>
          <w:rFonts w:ascii="Arial" w:hAnsi="Arial" w:cs="Arial"/>
          <w:b/>
          <w:caps/>
          <w:sz w:val="20"/>
          <w:lang w:val="uk-UA" w:eastAsia="ru-RU"/>
        </w:rPr>
        <w:t>5</w:t>
      </w:r>
      <w:r w:rsidRPr="00367354">
        <w:rPr>
          <w:rFonts w:ascii="Arial" w:hAnsi="Arial" w:cs="Arial"/>
          <w:b/>
          <w:caps/>
          <w:sz w:val="20"/>
          <w:lang w:val="en-US" w:eastAsia="ru-RU"/>
        </w:rPr>
        <w:t xml:space="preserve"> hospitals</w:t>
      </w:r>
      <w:r w:rsidR="00EE5D20">
        <w:rPr>
          <w:rFonts w:ascii="Arial" w:hAnsi="Arial" w:cs="Arial"/>
          <w:b/>
          <w:caps/>
          <w:sz w:val="20"/>
          <w:lang w:val="en-US" w:eastAsia="ru-RU"/>
        </w:rPr>
        <w:t xml:space="preserve"> (6 facilities)</w:t>
      </w:r>
    </w:p>
    <w:p w:rsidR="00625273" w:rsidRPr="00625273" w:rsidRDefault="00625273" w:rsidP="00625273">
      <w:pPr>
        <w:numPr>
          <w:ilvl w:val="12"/>
          <w:numId w:val="0"/>
        </w:numPr>
        <w:jc w:val="both"/>
        <w:rPr>
          <w:rFonts w:ascii="Arial" w:hAnsi="Arial" w:cs="Arial"/>
          <w:sz w:val="20"/>
          <w:lang w:val="en-US" w:eastAsia="ru-RU"/>
        </w:rPr>
      </w:pPr>
    </w:p>
    <w:p w:rsidR="00625273" w:rsidRDefault="00625273" w:rsidP="00625273">
      <w:pPr>
        <w:numPr>
          <w:ilvl w:val="12"/>
          <w:numId w:val="0"/>
        </w:numPr>
        <w:jc w:val="both"/>
        <w:rPr>
          <w:rFonts w:ascii="Arial" w:hAnsi="Arial" w:cs="Arial"/>
          <w:sz w:val="20"/>
        </w:rPr>
      </w:pPr>
      <w:r w:rsidRPr="00625273">
        <w:rPr>
          <w:rFonts w:ascii="Arial" w:hAnsi="Arial" w:cs="Arial"/>
          <w:sz w:val="20"/>
        </w:rPr>
        <w:t>This Invitation for Tenders follows the General Procurement Notice for Kremenchuk Public Buildings Energy Efficiency</w:t>
      </w:r>
      <w:r w:rsidRPr="00625273" w:rsidDel="00A46EC5">
        <w:rPr>
          <w:rFonts w:ascii="Arial" w:hAnsi="Arial" w:cs="Arial"/>
          <w:sz w:val="20"/>
        </w:rPr>
        <w:t xml:space="preserve"> </w:t>
      </w:r>
      <w:r w:rsidRPr="00625273">
        <w:rPr>
          <w:rFonts w:ascii="Arial" w:hAnsi="Arial" w:cs="Arial"/>
          <w:sz w:val="20"/>
        </w:rPr>
        <w:t xml:space="preserve">project (the Project) which </w:t>
      </w:r>
      <w:proofErr w:type="gramStart"/>
      <w:r w:rsidRPr="00625273">
        <w:rPr>
          <w:rFonts w:ascii="Arial" w:hAnsi="Arial" w:cs="Arial"/>
          <w:sz w:val="20"/>
        </w:rPr>
        <w:t xml:space="preserve">was published in the Procurement </w:t>
      </w:r>
      <w:r w:rsidRPr="00C37A89">
        <w:rPr>
          <w:rFonts w:ascii="Arial" w:hAnsi="Arial" w:cs="Arial"/>
          <w:sz w:val="20"/>
        </w:rPr>
        <w:t>Opportunities on 06 February 2018 under ref. No. 8966-GPN-48019</w:t>
      </w:r>
      <w:r w:rsidR="00367354" w:rsidRPr="00C37A89">
        <w:rPr>
          <w:rFonts w:ascii="Arial" w:hAnsi="Arial" w:cs="Arial"/>
          <w:sz w:val="20"/>
        </w:rPr>
        <w:t xml:space="preserve"> and updated on 23 August 2019 under ref. No. 9495-GPN-48019</w:t>
      </w:r>
      <w:proofErr w:type="gramEnd"/>
      <w:r w:rsidRPr="00C37A89">
        <w:rPr>
          <w:rFonts w:ascii="Arial" w:hAnsi="Arial" w:cs="Arial"/>
          <w:sz w:val="20"/>
        </w:rPr>
        <w:t>.</w:t>
      </w:r>
    </w:p>
    <w:p w:rsidR="00625273" w:rsidRPr="00625273" w:rsidRDefault="00625273" w:rsidP="00625273">
      <w:pPr>
        <w:numPr>
          <w:ilvl w:val="12"/>
          <w:numId w:val="0"/>
        </w:numPr>
        <w:jc w:val="both"/>
        <w:rPr>
          <w:rFonts w:ascii="Arial" w:hAnsi="Arial" w:cs="Arial"/>
          <w:sz w:val="20"/>
        </w:rPr>
      </w:pPr>
    </w:p>
    <w:p w:rsidR="00625273" w:rsidRDefault="006E2C45" w:rsidP="00625273">
      <w:pPr>
        <w:numPr>
          <w:ilvl w:val="12"/>
          <w:numId w:val="0"/>
        </w:numPr>
        <w:jc w:val="both"/>
        <w:rPr>
          <w:rFonts w:ascii="Arial" w:hAnsi="Arial" w:cs="Arial"/>
          <w:sz w:val="20"/>
        </w:rPr>
      </w:pPr>
      <w:r w:rsidRPr="00BC70D0">
        <w:rPr>
          <w:rFonts w:ascii="Arial" w:hAnsi="Arial" w:cs="Arial"/>
          <w:sz w:val="20"/>
          <w:shd w:val="clear" w:color="auto" w:fill="FFFFFF"/>
          <w:lang w:val="en-US"/>
        </w:rPr>
        <w:t>Communal Enterprise “Kremenchug Municipal Energy Service Company” of the Kremenchuk City Council of Poltava Region</w:t>
      </w:r>
      <w:r w:rsidR="00625273" w:rsidRPr="00625273">
        <w:rPr>
          <w:rFonts w:ascii="Arial" w:hAnsi="Arial" w:cs="Arial"/>
          <w:sz w:val="20"/>
        </w:rPr>
        <w:t xml:space="preserve"> (the “Employer”), has received loans from the European Bank for Reconstruction and Development (the “Bank” or “EBRD”) and the EBRD Clean Technology Fund (“CTF”) and a grant from the EBRD Special Shareholders Fund (“SSF”) towards the cost of the Project.</w:t>
      </w:r>
    </w:p>
    <w:p w:rsidR="00625273" w:rsidRPr="00625273" w:rsidRDefault="00625273" w:rsidP="00625273">
      <w:pPr>
        <w:numPr>
          <w:ilvl w:val="12"/>
          <w:numId w:val="0"/>
        </w:numPr>
        <w:jc w:val="both"/>
        <w:rPr>
          <w:rFonts w:ascii="Arial" w:hAnsi="Arial" w:cs="Arial"/>
          <w:sz w:val="20"/>
        </w:rPr>
      </w:pPr>
    </w:p>
    <w:p w:rsidR="00367354" w:rsidRDefault="00367354" w:rsidP="00625273">
      <w:pPr>
        <w:numPr>
          <w:ilvl w:val="12"/>
          <w:numId w:val="0"/>
        </w:numPr>
        <w:jc w:val="both"/>
        <w:rPr>
          <w:rFonts w:ascii="Arial" w:hAnsi="Arial" w:cs="Arial"/>
          <w:sz w:val="20"/>
        </w:rPr>
      </w:pPr>
      <w:r w:rsidRPr="00367354">
        <w:rPr>
          <w:rFonts w:ascii="Arial" w:hAnsi="Arial" w:cs="Arial"/>
          <w:sz w:val="20"/>
        </w:rPr>
        <w:t xml:space="preserve">The Employer now invites sealed tenders from contractors for the contracts (turnkey thermal modernisation of public buildings (Facilities) with predetermined targeted energy efficiency levels, Energy Performance Contracts or Contracts) listed below to </w:t>
      </w:r>
      <w:proofErr w:type="gramStart"/>
      <w:r w:rsidRPr="00367354">
        <w:rPr>
          <w:rFonts w:ascii="Arial" w:hAnsi="Arial" w:cs="Arial"/>
          <w:sz w:val="20"/>
        </w:rPr>
        <w:t>be funded</w:t>
      </w:r>
      <w:proofErr w:type="gramEnd"/>
      <w:r w:rsidRPr="00367354">
        <w:rPr>
          <w:rFonts w:ascii="Arial" w:hAnsi="Arial" w:cs="Arial"/>
          <w:sz w:val="20"/>
        </w:rPr>
        <w:t xml:space="preserve"> from the proceeds of the loans and the grant (each divided by two sub-lots). Sub-lots 1.1 and 2.1 </w:t>
      </w:r>
      <w:proofErr w:type="gramStart"/>
      <w:r w:rsidRPr="00367354">
        <w:rPr>
          <w:rFonts w:ascii="Arial" w:hAnsi="Arial" w:cs="Arial"/>
          <w:sz w:val="20"/>
        </w:rPr>
        <w:t>will be financed</w:t>
      </w:r>
      <w:proofErr w:type="gramEnd"/>
      <w:r w:rsidRPr="00367354">
        <w:rPr>
          <w:rFonts w:ascii="Arial" w:hAnsi="Arial" w:cs="Arial"/>
          <w:sz w:val="20"/>
        </w:rPr>
        <w:t xml:space="preserve"> from the proceeds of the loans and sub-lots 1.2 and 2.2 will be financed from the proceeds of the grant:</w:t>
      </w:r>
    </w:p>
    <w:p w:rsidR="00625273" w:rsidRPr="00625273" w:rsidRDefault="00625273" w:rsidP="00625273">
      <w:pPr>
        <w:numPr>
          <w:ilvl w:val="12"/>
          <w:numId w:val="0"/>
        </w:numPr>
        <w:jc w:val="both"/>
        <w:rPr>
          <w:rFonts w:ascii="Arial" w:hAnsi="Arial" w:cs="Arial"/>
          <w:b/>
          <w:sz w:val="20"/>
        </w:rPr>
      </w:pPr>
    </w:p>
    <w:p w:rsidR="00625273" w:rsidRPr="00625273" w:rsidRDefault="00625273" w:rsidP="00367354">
      <w:pPr>
        <w:pStyle w:val="a7"/>
        <w:numPr>
          <w:ilvl w:val="1"/>
          <w:numId w:val="1"/>
        </w:numPr>
        <w:jc w:val="both"/>
        <w:rPr>
          <w:rFonts w:ascii="Arial" w:hAnsi="Arial" w:cs="Arial"/>
          <w:sz w:val="20"/>
        </w:rPr>
      </w:pPr>
      <w:r w:rsidRPr="00625273">
        <w:rPr>
          <w:rFonts w:ascii="Arial" w:hAnsi="Arial" w:cs="Arial"/>
          <w:sz w:val="20"/>
        </w:rPr>
        <w:t xml:space="preserve">Lot / Contract 1 </w:t>
      </w:r>
      <w:r w:rsidR="00367354" w:rsidRPr="00367354">
        <w:rPr>
          <w:rFonts w:ascii="Arial" w:hAnsi="Arial" w:cs="Arial"/>
          <w:sz w:val="20"/>
        </w:rPr>
        <w:t>(for 33 Facilities aggregated in Lot 1 divided into sub-lots 1.1 and 1.2)</w:t>
      </w:r>
    </w:p>
    <w:p w:rsidR="00625273" w:rsidRPr="00625273" w:rsidRDefault="00625273" w:rsidP="00367354">
      <w:pPr>
        <w:pStyle w:val="a7"/>
        <w:numPr>
          <w:ilvl w:val="1"/>
          <w:numId w:val="1"/>
        </w:numPr>
        <w:jc w:val="both"/>
        <w:rPr>
          <w:rFonts w:ascii="Arial" w:hAnsi="Arial" w:cs="Arial"/>
          <w:sz w:val="20"/>
        </w:rPr>
      </w:pPr>
      <w:r w:rsidRPr="00625273">
        <w:rPr>
          <w:rFonts w:ascii="Arial" w:hAnsi="Arial" w:cs="Arial"/>
          <w:sz w:val="20"/>
        </w:rPr>
        <w:t xml:space="preserve">Lot / Contract 2 </w:t>
      </w:r>
      <w:r w:rsidR="00367354" w:rsidRPr="00367354">
        <w:rPr>
          <w:rFonts w:ascii="Arial" w:hAnsi="Arial" w:cs="Arial"/>
          <w:sz w:val="20"/>
        </w:rPr>
        <w:t>(for 34 Facilities aggregated in Lot 2 divided into sub-lots 2.1 and 2.2)</w:t>
      </w:r>
    </w:p>
    <w:p w:rsidR="00625273" w:rsidRDefault="00625273" w:rsidP="00625273">
      <w:pPr>
        <w:numPr>
          <w:ilvl w:val="12"/>
          <w:numId w:val="0"/>
        </w:numPr>
        <w:jc w:val="both"/>
        <w:rPr>
          <w:rFonts w:ascii="Arial" w:hAnsi="Arial" w:cs="Arial"/>
          <w:sz w:val="20"/>
        </w:rPr>
      </w:pPr>
    </w:p>
    <w:p w:rsidR="00625273" w:rsidRPr="00625273" w:rsidRDefault="00625273" w:rsidP="00625273">
      <w:pPr>
        <w:numPr>
          <w:ilvl w:val="12"/>
          <w:numId w:val="0"/>
        </w:numPr>
        <w:jc w:val="both"/>
        <w:rPr>
          <w:rFonts w:ascii="Arial" w:hAnsi="Arial" w:cs="Arial"/>
          <w:sz w:val="20"/>
        </w:rPr>
      </w:pPr>
      <w:r w:rsidRPr="00625273">
        <w:rPr>
          <w:rFonts w:ascii="Arial" w:hAnsi="Arial" w:cs="Arial"/>
          <w:sz w:val="20"/>
        </w:rPr>
        <w:t xml:space="preserve">Tenders </w:t>
      </w:r>
      <w:proofErr w:type="gramStart"/>
      <w:r w:rsidRPr="00625273">
        <w:rPr>
          <w:rFonts w:ascii="Arial" w:hAnsi="Arial" w:cs="Arial"/>
          <w:sz w:val="20"/>
        </w:rPr>
        <w:t>are invited</w:t>
      </w:r>
      <w:proofErr w:type="gramEnd"/>
      <w:r w:rsidRPr="00625273">
        <w:rPr>
          <w:rFonts w:ascii="Arial" w:hAnsi="Arial" w:cs="Arial"/>
          <w:sz w:val="20"/>
        </w:rPr>
        <w:t xml:space="preserve"> for one or </w:t>
      </w:r>
      <w:r w:rsidR="00367354">
        <w:rPr>
          <w:rFonts w:ascii="Arial" w:hAnsi="Arial" w:cs="Arial"/>
          <w:sz w:val="20"/>
        </w:rPr>
        <w:t>both</w:t>
      </w:r>
      <w:r w:rsidRPr="00625273">
        <w:rPr>
          <w:rFonts w:ascii="Arial" w:hAnsi="Arial" w:cs="Arial"/>
          <w:sz w:val="20"/>
        </w:rPr>
        <w:t xml:space="preserve"> lots.</w:t>
      </w:r>
    </w:p>
    <w:p w:rsidR="00625273" w:rsidRDefault="00625273" w:rsidP="00625273">
      <w:pPr>
        <w:numPr>
          <w:ilvl w:val="12"/>
          <w:numId w:val="0"/>
        </w:numPr>
        <w:jc w:val="both"/>
        <w:rPr>
          <w:rFonts w:ascii="Arial" w:hAnsi="Arial" w:cs="Arial"/>
          <w:sz w:val="20"/>
          <w:lang w:val="en-US"/>
        </w:rPr>
      </w:pPr>
    </w:p>
    <w:p w:rsidR="00625273" w:rsidRDefault="00367354" w:rsidP="00625273">
      <w:pPr>
        <w:numPr>
          <w:ilvl w:val="12"/>
          <w:numId w:val="0"/>
        </w:numPr>
        <w:jc w:val="both"/>
        <w:rPr>
          <w:rFonts w:ascii="Arial" w:hAnsi="Arial" w:cs="Arial"/>
          <w:sz w:val="20"/>
          <w:lang w:val="en-US"/>
        </w:rPr>
      </w:pPr>
      <w:r w:rsidRPr="00367354">
        <w:rPr>
          <w:rFonts w:ascii="Arial" w:hAnsi="Arial" w:cs="Arial"/>
          <w:sz w:val="20"/>
          <w:lang w:val="en-US"/>
        </w:rPr>
        <w:t>The Tenderers shall submit the Tenders for both sub-lots within each lot. Failure to submit proposals for both sub-lots in each lot will result in the rejection of the Tender.</w:t>
      </w:r>
    </w:p>
    <w:p w:rsidR="00367354" w:rsidRDefault="00367354" w:rsidP="00625273">
      <w:pPr>
        <w:numPr>
          <w:ilvl w:val="12"/>
          <w:numId w:val="0"/>
        </w:numPr>
        <w:jc w:val="both"/>
        <w:rPr>
          <w:rFonts w:ascii="Arial" w:hAnsi="Arial" w:cs="Arial"/>
          <w:sz w:val="20"/>
        </w:rPr>
      </w:pPr>
    </w:p>
    <w:p w:rsidR="00625273" w:rsidRDefault="00367354" w:rsidP="00625273">
      <w:pPr>
        <w:numPr>
          <w:ilvl w:val="12"/>
          <w:numId w:val="0"/>
        </w:numPr>
        <w:jc w:val="both"/>
        <w:rPr>
          <w:rFonts w:ascii="Arial" w:hAnsi="Arial" w:cs="Arial"/>
          <w:sz w:val="20"/>
        </w:rPr>
      </w:pPr>
      <w:r w:rsidRPr="00367354">
        <w:rPr>
          <w:rFonts w:ascii="Arial" w:hAnsi="Arial" w:cs="Arial"/>
          <w:sz w:val="20"/>
        </w:rPr>
        <w:t xml:space="preserve">Tendering for contracts to </w:t>
      </w:r>
      <w:proofErr w:type="gramStart"/>
      <w:r w:rsidRPr="00367354">
        <w:rPr>
          <w:rFonts w:ascii="Arial" w:hAnsi="Arial" w:cs="Arial"/>
          <w:sz w:val="20"/>
        </w:rPr>
        <w:t>be financed</w:t>
      </w:r>
      <w:proofErr w:type="gramEnd"/>
      <w:r w:rsidRPr="00367354">
        <w:rPr>
          <w:rFonts w:ascii="Arial" w:hAnsi="Arial" w:cs="Arial"/>
          <w:sz w:val="20"/>
        </w:rPr>
        <w:t xml:space="preserve"> with the proceeds of the EBRD and the CTF loans and the SSF grant is open to firms from all countries. The proceeds of the EBRD and the CTF loans and the SSF grant </w:t>
      </w:r>
      <w:proofErr w:type="gramStart"/>
      <w:r w:rsidRPr="00367354">
        <w:rPr>
          <w:rFonts w:ascii="Arial" w:hAnsi="Arial" w:cs="Arial"/>
          <w:sz w:val="20"/>
        </w:rPr>
        <w:t>will not be used</w:t>
      </w:r>
      <w:proofErr w:type="gramEnd"/>
      <w:r w:rsidRPr="00367354">
        <w:rPr>
          <w:rFonts w:ascii="Arial" w:hAnsi="Arial" w:cs="Arial"/>
          <w:sz w:val="20"/>
        </w:rPr>
        <w:t xml:space="preserve"> for the purpose of any payment to persons or entities, or for any import of goods, if such payment or import is prohibited by a decision of the United Nations Security Council taken under Chapter VII of the Charter of the United Nations.</w:t>
      </w:r>
    </w:p>
    <w:p w:rsidR="00367354" w:rsidRDefault="00367354" w:rsidP="00625273">
      <w:pPr>
        <w:numPr>
          <w:ilvl w:val="12"/>
          <w:numId w:val="0"/>
        </w:numPr>
        <w:jc w:val="both"/>
        <w:rPr>
          <w:rFonts w:ascii="Arial" w:hAnsi="Arial" w:cs="Arial"/>
          <w:sz w:val="20"/>
        </w:rPr>
      </w:pPr>
    </w:p>
    <w:p w:rsidR="00367354" w:rsidRDefault="00367354" w:rsidP="00625273">
      <w:pPr>
        <w:numPr>
          <w:ilvl w:val="12"/>
          <w:numId w:val="0"/>
        </w:numPr>
        <w:jc w:val="both"/>
        <w:rPr>
          <w:rFonts w:ascii="Arial" w:hAnsi="Arial" w:cs="Arial"/>
          <w:sz w:val="20"/>
        </w:rPr>
      </w:pPr>
      <w:r w:rsidRPr="00367354">
        <w:rPr>
          <w:rFonts w:ascii="Arial" w:hAnsi="Arial" w:cs="Arial"/>
          <w:sz w:val="20"/>
        </w:rPr>
        <w:t xml:space="preserve">Tender Documents </w:t>
      </w:r>
      <w:proofErr w:type="gramStart"/>
      <w:r w:rsidRPr="00367354">
        <w:rPr>
          <w:rFonts w:ascii="Arial" w:hAnsi="Arial" w:cs="Arial"/>
          <w:sz w:val="20"/>
        </w:rPr>
        <w:t>may be obtained</w:t>
      </w:r>
      <w:proofErr w:type="gramEnd"/>
      <w:r w:rsidRPr="00367354">
        <w:rPr>
          <w:rFonts w:ascii="Arial" w:hAnsi="Arial" w:cs="Arial"/>
          <w:sz w:val="20"/>
        </w:rPr>
        <w:t xml:space="preserve"> by the Tenderers in electronic format free of charge upon request sent to the Employer’s e-mail address presented in this Invitation for tenders. Wherever the electronic version of selected parts of the document </w:t>
      </w:r>
      <w:proofErr w:type="gramStart"/>
      <w:r w:rsidRPr="00367354">
        <w:rPr>
          <w:rFonts w:ascii="Arial" w:hAnsi="Arial" w:cs="Arial"/>
          <w:sz w:val="20"/>
        </w:rPr>
        <w:t>is provided</w:t>
      </w:r>
      <w:proofErr w:type="gramEnd"/>
      <w:r w:rsidRPr="00367354">
        <w:rPr>
          <w:rFonts w:ascii="Arial" w:hAnsi="Arial" w:cs="Arial"/>
          <w:sz w:val="20"/>
        </w:rPr>
        <w:t xml:space="preserve"> in Word and PDF formats, in case of discrepancies between the two versions, the PDF version shall prevail.</w:t>
      </w:r>
    </w:p>
    <w:p w:rsidR="00625273" w:rsidRPr="00625273" w:rsidRDefault="00625273" w:rsidP="00625273">
      <w:pPr>
        <w:numPr>
          <w:ilvl w:val="12"/>
          <w:numId w:val="0"/>
        </w:numPr>
        <w:jc w:val="both"/>
        <w:rPr>
          <w:rFonts w:ascii="Arial" w:hAnsi="Arial" w:cs="Arial"/>
          <w:sz w:val="20"/>
        </w:rPr>
      </w:pPr>
    </w:p>
    <w:p w:rsidR="00625273" w:rsidRPr="00625273" w:rsidRDefault="00625273" w:rsidP="00625273">
      <w:pPr>
        <w:numPr>
          <w:ilvl w:val="12"/>
          <w:numId w:val="0"/>
        </w:numPr>
        <w:jc w:val="both"/>
        <w:rPr>
          <w:rFonts w:ascii="Arial" w:hAnsi="Arial" w:cs="Arial"/>
          <w:sz w:val="20"/>
        </w:rPr>
      </w:pPr>
      <w:r w:rsidRPr="00625273">
        <w:rPr>
          <w:rFonts w:ascii="Arial" w:hAnsi="Arial" w:cs="Arial"/>
          <w:sz w:val="20"/>
        </w:rPr>
        <w:t xml:space="preserve">Alternatively, the tender documents </w:t>
      </w:r>
      <w:proofErr w:type="gramStart"/>
      <w:r w:rsidRPr="00625273">
        <w:rPr>
          <w:rFonts w:ascii="Arial" w:hAnsi="Arial" w:cs="Arial"/>
          <w:sz w:val="20"/>
        </w:rPr>
        <w:t>may be provided</w:t>
      </w:r>
      <w:proofErr w:type="gramEnd"/>
      <w:r w:rsidRPr="00625273">
        <w:rPr>
          <w:rFonts w:ascii="Arial" w:hAnsi="Arial" w:cs="Arial"/>
          <w:sz w:val="20"/>
        </w:rPr>
        <w:t xml:space="preserve"> in an electronic format free of charge upon request sent to the Purchaser at the email address below. Wherever the electronic version of selected parts of the document </w:t>
      </w:r>
      <w:proofErr w:type="gramStart"/>
      <w:r w:rsidRPr="00625273">
        <w:rPr>
          <w:rFonts w:ascii="Arial" w:hAnsi="Arial" w:cs="Arial"/>
          <w:sz w:val="20"/>
        </w:rPr>
        <w:t>is provided</w:t>
      </w:r>
      <w:proofErr w:type="gramEnd"/>
      <w:r w:rsidRPr="00625273">
        <w:rPr>
          <w:rFonts w:ascii="Arial" w:hAnsi="Arial" w:cs="Arial"/>
          <w:sz w:val="20"/>
        </w:rPr>
        <w:t xml:space="preserve"> in Word and PDF formats, in case of discrepancies between the two versions, the PDF version shall prevail.</w:t>
      </w:r>
    </w:p>
    <w:p w:rsidR="00625273" w:rsidRDefault="00625273" w:rsidP="00625273">
      <w:pPr>
        <w:numPr>
          <w:ilvl w:val="12"/>
          <w:numId w:val="0"/>
        </w:numPr>
        <w:jc w:val="both"/>
        <w:rPr>
          <w:rFonts w:ascii="Arial" w:hAnsi="Arial" w:cs="Arial"/>
          <w:sz w:val="20"/>
        </w:rPr>
      </w:pPr>
    </w:p>
    <w:p w:rsidR="00625273" w:rsidRDefault="00625273" w:rsidP="00625273">
      <w:pPr>
        <w:numPr>
          <w:ilvl w:val="12"/>
          <w:numId w:val="0"/>
        </w:numPr>
        <w:jc w:val="both"/>
        <w:rPr>
          <w:rFonts w:ascii="Arial" w:hAnsi="Arial" w:cs="Arial"/>
          <w:sz w:val="20"/>
        </w:rPr>
      </w:pPr>
      <w:r w:rsidRPr="00625273">
        <w:rPr>
          <w:rFonts w:ascii="Arial" w:hAnsi="Arial" w:cs="Arial"/>
          <w:sz w:val="20"/>
        </w:rPr>
        <w:t xml:space="preserve">A two-stage tender procedure </w:t>
      </w:r>
      <w:proofErr w:type="gramStart"/>
      <w:r w:rsidRPr="00625273">
        <w:rPr>
          <w:rFonts w:ascii="Arial" w:hAnsi="Arial" w:cs="Arial"/>
          <w:sz w:val="20"/>
        </w:rPr>
        <w:t>will be adopted</w:t>
      </w:r>
      <w:proofErr w:type="gramEnd"/>
      <w:r w:rsidRPr="00625273">
        <w:rPr>
          <w:rFonts w:ascii="Arial" w:hAnsi="Arial" w:cs="Arial"/>
          <w:sz w:val="20"/>
        </w:rPr>
        <w:t xml:space="preserve"> and will proceed as follows:</w:t>
      </w:r>
    </w:p>
    <w:p w:rsidR="00625273" w:rsidRPr="00625273" w:rsidRDefault="00625273" w:rsidP="00625273">
      <w:pPr>
        <w:numPr>
          <w:ilvl w:val="12"/>
          <w:numId w:val="0"/>
        </w:numPr>
        <w:jc w:val="both"/>
        <w:rPr>
          <w:rFonts w:ascii="Arial" w:hAnsi="Arial" w:cs="Arial"/>
          <w:sz w:val="20"/>
        </w:rPr>
      </w:pPr>
    </w:p>
    <w:p w:rsidR="00367354" w:rsidRDefault="00625273" w:rsidP="00625273">
      <w:pPr>
        <w:numPr>
          <w:ilvl w:val="12"/>
          <w:numId w:val="0"/>
        </w:numPr>
        <w:ind w:left="709" w:hanging="709"/>
        <w:jc w:val="both"/>
        <w:rPr>
          <w:rFonts w:ascii="Arial" w:hAnsi="Arial" w:cs="Arial"/>
          <w:sz w:val="20"/>
        </w:rPr>
      </w:pPr>
      <w:proofErr w:type="gramStart"/>
      <w:r w:rsidRPr="00625273">
        <w:rPr>
          <w:rFonts w:ascii="Arial" w:hAnsi="Arial" w:cs="Arial"/>
          <w:sz w:val="20"/>
        </w:rPr>
        <w:lastRenderedPageBreak/>
        <w:t>(a)</w:t>
      </w:r>
      <w:r w:rsidRPr="00625273">
        <w:rPr>
          <w:rFonts w:ascii="Arial" w:hAnsi="Arial" w:cs="Arial"/>
          <w:sz w:val="20"/>
        </w:rPr>
        <w:tab/>
        <w:t>the First Stage tender will consist of a technical proposal only, without any reference to prices, and a list of any deviations to the technical and commercial conditions set forth in the tender documents or any alternative technical solutions a tenderer wishes to offer, and a justification therefor</w:t>
      </w:r>
      <w:r w:rsidR="00367354">
        <w:rPr>
          <w:rFonts w:ascii="Arial" w:hAnsi="Arial" w:cs="Arial"/>
          <w:sz w:val="20"/>
        </w:rPr>
        <w:t>e</w:t>
      </w:r>
      <w:r w:rsidRPr="00625273">
        <w:rPr>
          <w:rFonts w:ascii="Arial" w:hAnsi="Arial" w:cs="Arial"/>
          <w:sz w:val="20"/>
        </w:rPr>
        <w:t>, provided always that such deviations or alternative solutions do not change the basic objectives of the project.</w:t>
      </w:r>
      <w:proofErr w:type="gramEnd"/>
      <w:r w:rsidRPr="00625273">
        <w:rPr>
          <w:rFonts w:ascii="Arial" w:hAnsi="Arial" w:cs="Arial"/>
          <w:sz w:val="20"/>
        </w:rPr>
        <w:t xml:space="preserve"> </w:t>
      </w:r>
    </w:p>
    <w:p w:rsidR="00367354" w:rsidRDefault="00367354" w:rsidP="00625273">
      <w:pPr>
        <w:numPr>
          <w:ilvl w:val="12"/>
          <w:numId w:val="0"/>
        </w:numPr>
        <w:ind w:left="709" w:hanging="709"/>
        <w:jc w:val="both"/>
        <w:rPr>
          <w:rFonts w:ascii="Arial" w:hAnsi="Arial" w:cs="Arial"/>
          <w:sz w:val="20"/>
        </w:rPr>
      </w:pPr>
    </w:p>
    <w:p w:rsidR="00367354" w:rsidRDefault="00367354" w:rsidP="00367354">
      <w:pPr>
        <w:numPr>
          <w:ilvl w:val="12"/>
          <w:numId w:val="0"/>
        </w:numPr>
        <w:ind w:left="709"/>
        <w:jc w:val="both"/>
        <w:rPr>
          <w:rFonts w:ascii="Arial" w:hAnsi="Arial" w:cs="Arial"/>
          <w:sz w:val="20"/>
        </w:rPr>
      </w:pPr>
      <w:r w:rsidRPr="00367354">
        <w:rPr>
          <w:rFonts w:ascii="Arial" w:hAnsi="Arial" w:cs="Arial"/>
          <w:sz w:val="20"/>
        </w:rPr>
        <w:t xml:space="preserve">Together with the First Stage </w:t>
      </w:r>
      <w:proofErr w:type="gramStart"/>
      <w:r w:rsidRPr="00367354">
        <w:rPr>
          <w:rFonts w:ascii="Arial" w:hAnsi="Arial" w:cs="Arial"/>
          <w:sz w:val="20"/>
        </w:rPr>
        <w:t>Tender</w:t>
      </w:r>
      <w:proofErr w:type="gramEnd"/>
      <w:r w:rsidRPr="00367354">
        <w:rPr>
          <w:rFonts w:ascii="Arial" w:hAnsi="Arial" w:cs="Arial"/>
          <w:sz w:val="20"/>
        </w:rPr>
        <w:t xml:space="preserve"> the Tenderers will have to submit documentary evidence confirming their compliance with the qualification criteria to perform the Contract(s) using the relevant forms furnished in Volume I. iv: Tender Forms. The Employer reserves the right to waive any minor deviations from the qualification criteria specified in Volume I. iii: Evaluation and Qualification Criteria that do not materially affect the capability of the Tenderer to perform the Contract(s). </w:t>
      </w:r>
    </w:p>
    <w:p w:rsidR="00367354" w:rsidRDefault="00367354" w:rsidP="00367354">
      <w:pPr>
        <w:numPr>
          <w:ilvl w:val="12"/>
          <w:numId w:val="0"/>
        </w:numPr>
        <w:ind w:left="709"/>
        <w:jc w:val="both"/>
        <w:rPr>
          <w:rFonts w:ascii="Arial" w:hAnsi="Arial" w:cs="Arial"/>
          <w:sz w:val="20"/>
        </w:rPr>
      </w:pPr>
    </w:p>
    <w:p w:rsidR="00625273" w:rsidRDefault="00625273" w:rsidP="00367354">
      <w:pPr>
        <w:numPr>
          <w:ilvl w:val="12"/>
          <w:numId w:val="0"/>
        </w:numPr>
        <w:ind w:left="709"/>
        <w:jc w:val="both"/>
        <w:rPr>
          <w:rFonts w:ascii="Arial" w:hAnsi="Arial" w:cs="Arial"/>
          <w:sz w:val="20"/>
        </w:rPr>
      </w:pPr>
      <w:r w:rsidRPr="00625273">
        <w:rPr>
          <w:rFonts w:ascii="Arial" w:hAnsi="Arial" w:cs="Arial"/>
          <w:sz w:val="20"/>
        </w:rPr>
        <w:t xml:space="preserve">Following evaluation by the Employer of the First Stage tenders, the Employer will invite each tenderer who meets the qualification criteria and who has submitted a technically responsive tender to a clarification meeting. The proposals of all such tenderers </w:t>
      </w:r>
      <w:proofErr w:type="gramStart"/>
      <w:r w:rsidRPr="00625273">
        <w:rPr>
          <w:rFonts w:ascii="Arial" w:hAnsi="Arial" w:cs="Arial"/>
          <w:sz w:val="20"/>
        </w:rPr>
        <w:t>will be reviewed</w:t>
      </w:r>
      <w:proofErr w:type="gramEnd"/>
      <w:r w:rsidRPr="00625273">
        <w:rPr>
          <w:rFonts w:ascii="Arial" w:hAnsi="Arial" w:cs="Arial"/>
          <w:sz w:val="20"/>
        </w:rPr>
        <w:t xml:space="preserve"> at the meeting and all required amendments, additions, deletions and other adjustments will be noted and recorded in a Memorandum. Only qualified tenderers submitting a technically responsive and acceptable First Stage tender </w:t>
      </w:r>
      <w:proofErr w:type="gramStart"/>
      <w:r w:rsidRPr="00625273">
        <w:rPr>
          <w:rFonts w:ascii="Arial" w:hAnsi="Arial" w:cs="Arial"/>
          <w:sz w:val="20"/>
        </w:rPr>
        <w:t>will be invited</w:t>
      </w:r>
      <w:proofErr w:type="gramEnd"/>
      <w:r w:rsidRPr="00625273">
        <w:rPr>
          <w:rFonts w:ascii="Arial" w:hAnsi="Arial" w:cs="Arial"/>
          <w:sz w:val="20"/>
        </w:rPr>
        <w:t xml:space="preserve"> to submit a Second Stage tender.</w:t>
      </w:r>
    </w:p>
    <w:p w:rsidR="00367354" w:rsidRPr="00625273" w:rsidRDefault="00367354" w:rsidP="00625273">
      <w:pPr>
        <w:numPr>
          <w:ilvl w:val="12"/>
          <w:numId w:val="0"/>
        </w:numPr>
        <w:ind w:left="709" w:hanging="709"/>
        <w:jc w:val="both"/>
        <w:rPr>
          <w:rFonts w:ascii="Arial" w:hAnsi="Arial" w:cs="Arial"/>
          <w:sz w:val="20"/>
        </w:rPr>
      </w:pPr>
    </w:p>
    <w:p w:rsidR="00625273" w:rsidRPr="00625273" w:rsidRDefault="00625273" w:rsidP="00625273">
      <w:pPr>
        <w:numPr>
          <w:ilvl w:val="12"/>
          <w:numId w:val="0"/>
        </w:numPr>
        <w:ind w:left="709" w:hanging="709"/>
        <w:jc w:val="both"/>
        <w:rPr>
          <w:rFonts w:ascii="Arial" w:hAnsi="Arial" w:cs="Arial"/>
          <w:sz w:val="20"/>
        </w:rPr>
      </w:pPr>
      <w:r w:rsidRPr="00625273">
        <w:rPr>
          <w:rFonts w:ascii="Arial" w:hAnsi="Arial" w:cs="Arial"/>
          <w:sz w:val="20"/>
        </w:rPr>
        <w:t>(b)</w:t>
      </w:r>
      <w:r w:rsidRPr="00625273">
        <w:rPr>
          <w:rFonts w:ascii="Arial" w:hAnsi="Arial" w:cs="Arial"/>
          <w:sz w:val="20"/>
        </w:rPr>
        <w:tab/>
        <w:t>the Second Stage tender will consist of an updated technical tender incorporating all changes required by the Employer as recorded in the Memorandum to the clarification meeting or as necessary to reflect any amendments to the tender documents issued subsequent to submission of the First Stage tender; and the commercial tender.</w:t>
      </w:r>
    </w:p>
    <w:p w:rsidR="00625273" w:rsidRDefault="00625273" w:rsidP="00625273">
      <w:pPr>
        <w:numPr>
          <w:ilvl w:val="12"/>
          <w:numId w:val="0"/>
        </w:numPr>
        <w:jc w:val="both"/>
        <w:rPr>
          <w:rFonts w:ascii="Arial" w:hAnsi="Arial" w:cs="Arial"/>
          <w:sz w:val="20"/>
        </w:rPr>
      </w:pPr>
    </w:p>
    <w:p w:rsidR="00625273" w:rsidRPr="00625273" w:rsidRDefault="00625273" w:rsidP="00625273">
      <w:pPr>
        <w:numPr>
          <w:ilvl w:val="12"/>
          <w:numId w:val="0"/>
        </w:numPr>
        <w:jc w:val="both"/>
        <w:rPr>
          <w:rFonts w:ascii="Arial" w:hAnsi="Arial" w:cs="Arial"/>
          <w:sz w:val="20"/>
        </w:rPr>
      </w:pPr>
      <w:r w:rsidRPr="00625273">
        <w:rPr>
          <w:rFonts w:ascii="Arial" w:hAnsi="Arial" w:cs="Arial"/>
          <w:sz w:val="20"/>
        </w:rPr>
        <w:t xml:space="preserve">First Stage tenders </w:t>
      </w:r>
      <w:proofErr w:type="gramStart"/>
      <w:r w:rsidRPr="00625273">
        <w:rPr>
          <w:rFonts w:ascii="Arial" w:hAnsi="Arial" w:cs="Arial"/>
          <w:sz w:val="20"/>
        </w:rPr>
        <w:t>must be delivered</w:t>
      </w:r>
      <w:proofErr w:type="gramEnd"/>
      <w:r w:rsidRPr="00625273">
        <w:rPr>
          <w:rFonts w:ascii="Arial" w:hAnsi="Arial" w:cs="Arial"/>
          <w:sz w:val="20"/>
        </w:rPr>
        <w:t xml:space="preserve"> to the address below </w:t>
      </w:r>
      <w:r w:rsidRPr="00625273">
        <w:rPr>
          <w:rFonts w:ascii="Arial" w:hAnsi="Arial" w:cs="Arial"/>
          <w:b/>
          <w:sz w:val="20"/>
        </w:rPr>
        <w:t xml:space="preserve">on or before 16:00 on </w:t>
      </w:r>
      <w:r w:rsidR="00550943">
        <w:rPr>
          <w:rFonts w:ascii="Arial" w:hAnsi="Arial" w:cs="Arial"/>
          <w:b/>
          <w:sz w:val="20"/>
        </w:rPr>
        <w:t>22 January</w:t>
      </w:r>
      <w:r w:rsidR="00367354">
        <w:rPr>
          <w:rFonts w:ascii="Arial" w:hAnsi="Arial" w:cs="Arial"/>
          <w:b/>
          <w:sz w:val="20"/>
        </w:rPr>
        <w:t xml:space="preserve"> 2020</w:t>
      </w:r>
      <w:r w:rsidRPr="00625273">
        <w:rPr>
          <w:rFonts w:ascii="Arial" w:hAnsi="Arial" w:cs="Arial"/>
          <w:sz w:val="20"/>
        </w:rPr>
        <w:t xml:space="preserve"> at which time they will be opened in the presence of the tenderers’ representatives who wish to attend.</w:t>
      </w:r>
    </w:p>
    <w:p w:rsidR="00625273" w:rsidRDefault="00625273" w:rsidP="00625273">
      <w:pPr>
        <w:numPr>
          <w:ilvl w:val="12"/>
          <w:numId w:val="0"/>
        </w:numPr>
        <w:jc w:val="both"/>
        <w:rPr>
          <w:rFonts w:ascii="Arial" w:hAnsi="Arial" w:cs="Arial"/>
          <w:sz w:val="20"/>
        </w:rPr>
      </w:pPr>
    </w:p>
    <w:p w:rsidR="00367354" w:rsidRDefault="00367354" w:rsidP="00625273">
      <w:pPr>
        <w:numPr>
          <w:ilvl w:val="12"/>
          <w:numId w:val="0"/>
        </w:numPr>
        <w:jc w:val="both"/>
        <w:rPr>
          <w:rFonts w:ascii="Arial" w:hAnsi="Arial" w:cs="Arial"/>
          <w:sz w:val="20"/>
        </w:rPr>
      </w:pPr>
      <w:r w:rsidRPr="00367354">
        <w:rPr>
          <w:rFonts w:ascii="Arial" w:hAnsi="Arial" w:cs="Arial"/>
          <w:sz w:val="20"/>
        </w:rPr>
        <w:t xml:space="preserve">Tender Security is not required. </w:t>
      </w:r>
    </w:p>
    <w:p w:rsidR="00367354" w:rsidRDefault="00367354" w:rsidP="00625273">
      <w:pPr>
        <w:numPr>
          <w:ilvl w:val="12"/>
          <w:numId w:val="0"/>
        </w:numPr>
        <w:jc w:val="both"/>
        <w:rPr>
          <w:rFonts w:ascii="Arial" w:hAnsi="Arial" w:cs="Arial"/>
          <w:sz w:val="20"/>
        </w:rPr>
      </w:pPr>
    </w:p>
    <w:p w:rsidR="00416A72" w:rsidRPr="00416A72" w:rsidRDefault="00416A72" w:rsidP="00416A72">
      <w:pPr>
        <w:pStyle w:val="Bodycopy"/>
        <w:rPr>
          <w:rFonts w:ascii="Arial" w:hAnsi="Arial" w:cs="Arial"/>
          <w:sz w:val="20"/>
          <w:szCs w:val="20"/>
        </w:rPr>
      </w:pPr>
      <w:r w:rsidRPr="00416A72">
        <w:rPr>
          <w:rFonts w:ascii="Arial" w:hAnsi="Arial" w:cs="Arial"/>
          <w:sz w:val="20"/>
          <w:szCs w:val="20"/>
        </w:rPr>
        <w:t xml:space="preserve">The applicable procurement rules are the Bank’s Procurement Policies and Rules (PP&amp;R, Rev. </w:t>
      </w:r>
      <w:r>
        <w:rPr>
          <w:rFonts w:ascii="Arial" w:hAnsi="Arial" w:cs="Arial"/>
          <w:sz w:val="20"/>
          <w:szCs w:val="20"/>
        </w:rPr>
        <w:t>October 2014</w:t>
      </w:r>
      <w:r w:rsidRPr="00416A72">
        <w:rPr>
          <w:rFonts w:ascii="Arial" w:hAnsi="Arial" w:cs="Arial"/>
          <w:sz w:val="20"/>
          <w:szCs w:val="20"/>
        </w:rPr>
        <w:t xml:space="preserve">) which can be located </w:t>
      </w:r>
      <w:proofErr w:type="gramStart"/>
      <w:r w:rsidRPr="00416A72">
        <w:rPr>
          <w:rFonts w:ascii="Arial" w:hAnsi="Arial" w:cs="Arial"/>
          <w:sz w:val="20"/>
          <w:szCs w:val="20"/>
        </w:rPr>
        <w:t>at:</w:t>
      </w:r>
      <w:proofErr w:type="gramEnd"/>
      <w:r w:rsidRPr="00416A72">
        <w:rPr>
          <w:rFonts w:ascii="Arial" w:hAnsi="Arial" w:cs="Arial"/>
          <w:sz w:val="20"/>
          <w:szCs w:val="20"/>
        </w:rPr>
        <w:t xml:space="preserve"> </w:t>
      </w:r>
      <w:hyperlink r:id="rId8" w:history="1">
        <w:r w:rsidRPr="001160BD">
          <w:rPr>
            <w:rStyle w:val="a9"/>
            <w:rFonts w:ascii="Arial" w:hAnsi="Arial" w:cs="Arial"/>
            <w:sz w:val="20"/>
            <w:szCs w:val="20"/>
          </w:rPr>
          <w:t>https://www.ebrd.com/news/publications/policies/procurement-policies-and-rules.html</w:t>
        </w:r>
      </w:hyperlink>
      <w:r>
        <w:rPr>
          <w:rFonts w:ascii="Arial" w:hAnsi="Arial" w:cs="Arial"/>
          <w:sz w:val="20"/>
          <w:szCs w:val="20"/>
        </w:rPr>
        <w:t xml:space="preserve"> </w:t>
      </w:r>
    </w:p>
    <w:p w:rsidR="00416A72" w:rsidRDefault="00416A72" w:rsidP="00625273">
      <w:pPr>
        <w:numPr>
          <w:ilvl w:val="12"/>
          <w:numId w:val="0"/>
        </w:numPr>
        <w:jc w:val="both"/>
        <w:rPr>
          <w:rFonts w:ascii="Arial" w:hAnsi="Arial" w:cs="Arial"/>
          <w:sz w:val="20"/>
        </w:rPr>
      </w:pPr>
    </w:p>
    <w:p w:rsidR="00625273" w:rsidRPr="00625273" w:rsidRDefault="00625273" w:rsidP="00625273">
      <w:pPr>
        <w:numPr>
          <w:ilvl w:val="12"/>
          <w:numId w:val="0"/>
        </w:numPr>
        <w:jc w:val="both"/>
        <w:rPr>
          <w:rFonts w:ascii="Arial" w:hAnsi="Arial" w:cs="Arial"/>
          <w:sz w:val="20"/>
        </w:rPr>
      </w:pPr>
      <w:r w:rsidRPr="00625273">
        <w:rPr>
          <w:rFonts w:ascii="Arial" w:hAnsi="Arial" w:cs="Arial"/>
          <w:sz w:val="20"/>
        </w:rPr>
        <w:t>Prospective tenderers may obtain further information from, and inspect and acquire the tender documents at, the following office:</w:t>
      </w:r>
    </w:p>
    <w:p w:rsidR="00625273" w:rsidRDefault="00625273" w:rsidP="00625273">
      <w:pPr>
        <w:numPr>
          <w:ilvl w:val="12"/>
          <w:numId w:val="0"/>
        </w:numPr>
        <w:jc w:val="both"/>
        <w:rPr>
          <w:rFonts w:ascii="Arial" w:hAnsi="Arial" w:cs="Arial"/>
          <w:sz w:val="20"/>
        </w:rPr>
      </w:pPr>
    </w:p>
    <w:p w:rsidR="00625273" w:rsidRPr="007E43B3" w:rsidRDefault="00625273" w:rsidP="00625273">
      <w:pPr>
        <w:numPr>
          <w:ilvl w:val="12"/>
          <w:numId w:val="0"/>
        </w:numPr>
        <w:jc w:val="both"/>
        <w:rPr>
          <w:rFonts w:ascii="Arial" w:hAnsi="Arial" w:cs="Arial"/>
          <w:sz w:val="20"/>
        </w:rPr>
      </w:pPr>
      <w:r w:rsidRPr="007E43B3">
        <w:rPr>
          <w:rFonts w:ascii="Arial" w:hAnsi="Arial" w:cs="Arial"/>
          <w:sz w:val="20"/>
        </w:rPr>
        <w:t>Kremenchuk Public Buildings Energy Efficiency</w:t>
      </w:r>
    </w:p>
    <w:p w:rsidR="00625273" w:rsidRPr="007E43B3" w:rsidRDefault="006E2C45" w:rsidP="00625273">
      <w:pPr>
        <w:numPr>
          <w:ilvl w:val="12"/>
          <w:numId w:val="0"/>
        </w:numPr>
        <w:jc w:val="both"/>
        <w:rPr>
          <w:rFonts w:ascii="Arial" w:hAnsi="Arial" w:cs="Arial"/>
          <w:sz w:val="20"/>
        </w:rPr>
      </w:pPr>
      <w:r w:rsidRPr="007E43B3">
        <w:rPr>
          <w:rFonts w:ascii="Arial" w:hAnsi="Arial" w:cs="Arial"/>
          <w:sz w:val="20"/>
          <w:shd w:val="clear" w:color="auto" w:fill="FFFFFF"/>
          <w:lang w:val="en-US"/>
        </w:rPr>
        <w:t>Communal Enterprise “Kremenchug Municipal Energy Service Company” of the Kremenchuk City Council of Poltava Region.</w:t>
      </w:r>
    </w:p>
    <w:p w:rsidR="00625273" w:rsidRPr="007E43B3" w:rsidRDefault="00625273" w:rsidP="00625273">
      <w:pPr>
        <w:numPr>
          <w:ilvl w:val="12"/>
          <w:numId w:val="0"/>
        </w:numPr>
        <w:jc w:val="both"/>
        <w:rPr>
          <w:rFonts w:ascii="Arial" w:hAnsi="Arial" w:cs="Arial"/>
          <w:sz w:val="20"/>
          <w:lang w:val="de-DE"/>
        </w:rPr>
      </w:pPr>
      <w:r w:rsidRPr="007E43B3">
        <w:rPr>
          <w:rFonts w:ascii="Arial" w:hAnsi="Arial" w:cs="Arial"/>
          <w:sz w:val="20"/>
          <w:lang w:val="de-DE"/>
        </w:rPr>
        <w:t xml:space="preserve">Ukraine, 39600, Kremenchuk, 12, </w:t>
      </w:r>
      <w:proofErr w:type="spellStart"/>
      <w:r w:rsidRPr="007E43B3">
        <w:rPr>
          <w:rFonts w:ascii="Arial" w:hAnsi="Arial" w:cs="Arial"/>
          <w:sz w:val="20"/>
          <w:lang w:val="de-DE"/>
        </w:rPr>
        <w:t>Henerala</w:t>
      </w:r>
      <w:proofErr w:type="spellEnd"/>
      <w:r w:rsidRPr="007E43B3">
        <w:rPr>
          <w:rFonts w:ascii="Arial" w:hAnsi="Arial" w:cs="Arial"/>
          <w:sz w:val="20"/>
          <w:lang w:val="de-DE"/>
        </w:rPr>
        <w:t xml:space="preserve"> </w:t>
      </w:r>
      <w:proofErr w:type="spellStart"/>
      <w:r w:rsidRPr="007E43B3">
        <w:rPr>
          <w:rFonts w:ascii="Arial" w:hAnsi="Arial" w:cs="Arial"/>
          <w:sz w:val="20"/>
          <w:lang w:val="de-DE"/>
        </w:rPr>
        <w:t>Zhadova</w:t>
      </w:r>
      <w:proofErr w:type="spellEnd"/>
      <w:r w:rsidRPr="007E43B3">
        <w:rPr>
          <w:rFonts w:ascii="Arial" w:hAnsi="Arial" w:cs="Arial"/>
          <w:sz w:val="20"/>
          <w:lang w:val="de-DE"/>
        </w:rPr>
        <w:t xml:space="preserve"> Str.</w:t>
      </w:r>
    </w:p>
    <w:p w:rsidR="00DA67B2" w:rsidRDefault="00625273" w:rsidP="00625273">
      <w:pPr>
        <w:numPr>
          <w:ilvl w:val="12"/>
          <w:numId w:val="0"/>
        </w:numPr>
        <w:jc w:val="both"/>
        <w:rPr>
          <w:rFonts w:ascii="Arial" w:hAnsi="Arial" w:cs="Arial"/>
          <w:sz w:val="20"/>
          <w:lang w:val="fr-FR"/>
        </w:rPr>
      </w:pPr>
      <w:r w:rsidRPr="007E43B3">
        <w:rPr>
          <w:rFonts w:ascii="Arial" w:hAnsi="Arial" w:cs="Arial"/>
          <w:sz w:val="20"/>
          <w:lang w:val="fr-FR"/>
        </w:rPr>
        <w:t xml:space="preserve">Email: </w:t>
      </w:r>
      <w:hyperlink r:id="rId9" w:history="1">
        <w:r w:rsidRPr="007E43B3">
          <w:rPr>
            <w:rStyle w:val="a9"/>
            <w:rFonts w:ascii="Arial" w:hAnsi="Arial" w:cs="Arial"/>
            <w:sz w:val="20"/>
            <w:lang w:val="fr-FR"/>
          </w:rPr>
          <w:t>kpkmek@ukr.net</w:t>
        </w:r>
      </w:hyperlink>
      <w:r w:rsidRPr="007E43B3">
        <w:rPr>
          <w:rFonts w:ascii="Arial" w:hAnsi="Arial" w:cs="Arial"/>
          <w:sz w:val="20"/>
          <w:lang w:val="fr-FR"/>
        </w:rPr>
        <w:t xml:space="preserve"> </w:t>
      </w:r>
    </w:p>
    <w:p w:rsidR="00557517" w:rsidRDefault="00557517" w:rsidP="00625273">
      <w:pPr>
        <w:numPr>
          <w:ilvl w:val="12"/>
          <w:numId w:val="0"/>
        </w:numPr>
        <w:jc w:val="both"/>
        <w:rPr>
          <w:rFonts w:ascii="Arial" w:hAnsi="Arial" w:cs="Arial"/>
          <w:sz w:val="20"/>
          <w:lang w:val="uk-UA"/>
        </w:rPr>
      </w:pPr>
      <w:r>
        <w:rPr>
          <w:rFonts w:ascii="Arial" w:hAnsi="Arial" w:cs="Arial"/>
          <w:sz w:val="20"/>
          <w:lang w:val="uk-UA"/>
        </w:rPr>
        <w:t>+380536-75-77-15</w:t>
      </w:r>
    </w:p>
    <w:p w:rsidR="00557517" w:rsidRDefault="00557517" w:rsidP="00625273">
      <w:pPr>
        <w:numPr>
          <w:ilvl w:val="12"/>
          <w:numId w:val="0"/>
        </w:numPr>
        <w:jc w:val="both"/>
        <w:rPr>
          <w:rFonts w:ascii="Arial" w:hAnsi="Arial" w:cs="Arial"/>
          <w:sz w:val="20"/>
          <w:lang w:val="uk-UA"/>
        </w:rPr>
      </w:pPr>
      <w:r>
        <w:rPr>
          <w:rFonts w:ascii="Arial" w:hAnsi="Arial" w:cs="Arial"/>
          <w:sz w:val="20"/>
          <w:lang w:val="uk-UA"/>
        </w:rPr>
        <w:t>+380536-75-77-16</w:t>
      </w:r>
    </w:p>
    <w:p w:rsidR="00557517" w:rsidRPr="00557517" w:rsidRDefault="00557517" w:rsidP="00625273">
      <w:pPr>
        <w:numPr>
          <w:ilvl w:val="12"/>
          <w:numId w:val="0"/>
        </w:numPr>
        <w:jc w:val="both"/>
        <w:rPr>
          <w:rFonts w:ascii="Arial" w:hAnsi="Arial" w:cs="Arial"/>
          <w:sz w:val="20"/>
          <w:lang w:val="uk-UA"/>
        </w:rPr>
      </w:pPr>
    </w:p>
    <w:sectPr w:rsidR="00557517" w:rsidRPr="00557517" w:rsidSect="00625273">
      <w:headerReference w:type="even" r:id="rId10"/>
      <w:headerReference w:type="default" r:id="rId11"/>
      <w:footerReference w:type="even"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37B" w:rsidRDefault="00DA537B" w:rsidP="00625273">
      <w:r>
        <w:separator/>
      </w:r>
    </w:p>
  </w:endnote>
  <w:endnote w:type="continuationSeparator" w:id="0">
    <w:p w:rsidR="00DA537B" w:rsidRDefault="00DA537B" w:rsidP="006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73" w:rsidRDefault="00962603" w:rsidP="00EE5D20">
    <w:pPr>
      <w:pStyle w:val="a5"/>
      <w:jc w:val="center"/>
    </w:pPr>
    <w:fldSimple w:instr=" DOCPROPERTY bjFooterEvenPageDocProperty \* MERGEFORMAT " w:fldLock="1">
      <w:r w:rsidR="00EE5D20" w:rsidRPr="00EE5D20">
        <w:rPr>
          <w:rFonts w:ascii="Arial" w:hAnsi="Arial" w:cs="Arial"/>
          <w:color w:val="0000FF"/>
          <w:sz w:val="18"/>
        </w:rPr>
        <w:t>OFFICIAL USE</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73" w:rsidRDefault="00962603" w:rsidP="00EE5D20">
    <w:pPr>
      <w:pStyle w:val="a5"/>
      <w:jc w:val="center"/>
    </w:pPr>
    <w:fldSimple w:instr=" DOCPROPERTY bjFooterFirstPageDocProperty \* MERGEFORMAT " w:fldLock="1">
      <w:r w:rsidR="00EE5D20" w:rsidRPr="00EE5D20">
        <w:rPr>
          <w:rFonts w:ascii="Arial" w:hAnsi="Arial" w:cs="Arial"/>
          <w:color w:val="0000FF"/>
          <w:sz w:val="18"/>
        </w:rPr>
        <w:t>OFFICIAL USE</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37B" w:rsidRDefault="00DA537B" w:rsidP="00625273">
      <w:r>
        <w:separator/>
      </w:r>
    </w:p>
  </w:footnote>
  <w:footnote w:type="continuationSeparator" w:id="0">
    <w:p w:rsidR="00DA537B" w:rsidRDefault="00DA537B" w:rsidP="00625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73" w:rsidRDefault="00962603" w:rsidP="00EE5D20">
    <w:pPr>
      <w:pStyle w:val="a3"/>
      <w:jc w:val="center"/>
    </w:pPr>
    <w:fldSimple w:instr=" DOCPROPERTY bjHeaderEvenPageDocProperty \* MERGEFORMAT " w:fldLock="1">
      <w:r w:rsidR="00EE5D20" w:rsidRPr="00EE5D20">
        <w:rPr>
          <w:rFonts w:ascii="Arial" w:hAnsi="Arial" w:cs="Arial"/>
          <w:color w:val="0000FF"/>
          <w:sz w:val="18"/>
        </w:rPr>
        <w:t>OFFICIAL USE</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73" w:rsidRDefault="00625273" w:rsidP="00EE5D20">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73" w:rsidRDefault="00962603" w:rsidP="00EE5D20">
    <w:pPr>
      <w:pStyle w:val="a3"/>
      <w:jc w:val="center"/>
    </w:pPr>
    <w:fldSimple w:instr=" DOCPROPERTY bjHeaderFirstPageDocProperty \* MERGEFORMAT " w:fldLock="1">
      <w:r w:rsidR="00EE5D20" w:rsidRPr="00EE5D20">
        <w:rPr>
          <w:rFonts w:ascii="Arial" w:hAnsi="Arial" w:cs="Arial"/>
          <w:color w:val="0000FF"/>
          <w:sz w:val="18"/>
        </w:rPr>
        <w:t>OFFICIAL USE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80EE8"/>
    <w:multiLevelType w:val="hybridMultilevel"/>
    <w:tmpl w:val="25EC1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3415A3"/>
    <w:multiLevelType w:val="hybridMultilevel"/>
    <w:tmpl w:val="9F5E7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3"/>
    <w:rsid w:val="00302EE6"/>
    <w:rsid w:val="00367354"/>
    <w:rsid w:val="00416A72"/>
    <w:rsid w:val="00550943"/>
    <w:rsid w:val="00557517"/>
    <w:rsid w:val="00625273"/>
    <w:rsid w:val="006E2C45"/>
    <w:rsid w:val="007E43B3"/>
    <w:rsid w:val="008337E8"/>
    <w:rsid w:val="00876687"/>
    <w:rsid w:val="00962603"/>
    <w:rsid w:val="00C37A89"/>
    <w:rsid w:val="00DA537B"/>
    <w:rsid w:val="00DA67B2"/>
    <w:rsid w:val="00EE5D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19E8F6-4ED2-4809-8BBF-9DB2300F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27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273"/>
    <w:pPr>
      <w:tabs>
        <w:tab w:val="center" w:pos="4513"/>
        <w:tab w:val="right" w:pos="9026"/>
      </w:tabs>
    </w:pPr>
  </w:style>
  <w:style w:type="character" w:customStyle="1" w:styleId="a4">
    <w:name w:val="Верхний колонтитул Знак"/>
    <w:basedOn w:val="a0"/>
    <w:link w:val="a3"/>
    <w:uiPriority w:val="99"/>
    <w:rsid w:val="00625273"/>
  </w:style>
  <w:style w:type="paragraph" w:styleId="a5">
    <w:name w:val="footer"/>
    <w:basedOn w:val="a"/>
    <w:link w:val="a6"/>
    <w:uiPriority w:val="99"/>
    <w:unhideWhenUsed/>
    <w:rsid w:val="00625273"/>
    <w:pPr>
      <w:tabs>
        <w:tab w:val="center" w:pos="4513"/>
        <w:tab w:val="right" w:pos="9026"/>
      </w:tabs>
    </w:pPr>
  </w:style>
  <w:style w:type="character" w:customStyle="1" w:styleId="a6">
    <w:name w:val="Нижний колонтитул Знак"/>
    <w:basedOn w:val="a0"/>
    <w:link w:val="a5"/>
    <w:uiPriority w:val="99"/>
    <w:rsid w:val="00625273"/>
  </w:style>
  <w:style w:type="paragraph" w:styleId="a7">
    <w:name w:val="List Paragraph"/>
    <w:aliases w:val="Heading 2_sj,Numbered Para 1,Dot pt,No Spacing1,List Paragraph Char Char Char,Indicator Text,Bullet 1,List Paragraph1,Bullet Points,MAIN CONTENT,List Paragraph12,F5 List Paragraph,Source,1st level - Bullet List Paragraph,List_Paragraph"/>
    <w:basedOn w:val="a"/>
    <w:link w:val="a8"/>
    <w:uiPriority w:val="34"/>
    <w:qFormat/>
    <w:rsid w:val="00625273"/>
    <w:pPr>
      <w:ind w:left="708"/>
    </w:pPr>
  </w:style>
  <w:style w:type="character" w:customStyle="1" w:styleId="a8">
    <w:name w:val="Абзац списка Знак"/>
    <w:aliases w:val="Heading 2_sj Знак,Numbered Para 1 Знак,Dot pt Знак,No Spacing1 Знак,List Paragraph Char Char Char Знак,Indicator Text Знак,Bullet 1 Знак,List Paragraph1 Знак,Bullet Points Знак,MAIN CONTENT Знак,List Paragraph12 Знак,Source Знак"/>
    <w:link w:val="a7"/>
    <w:uiPriority w:val="34"/>
    <w:qFormat/>
    <w:locked/>
    <w:rsid w:val="00625273"/>
    <w:rPr>
      <w:rFonts w:ascii="Times New Roman" w:eastAsia="Times New Roman" w:hAnsi="Times New Roman" w:cs="Times New Roman"/>
      <w:sz w:val="24"/>
      <w:szCs w:val="20"/>
      <w:lang w:eastAsia="en-GB"/>
    </w:rPr>
  </w:style>
  <w:style w:type="character" w:styleId="a9">
    <w:name w:val="Hyperlink"/>
    <w:basedOn w:val="a0"/>
    <w:uiPriority w:val="99"/>
    <w:unhideWhenUsed/>
    <w:rsid w:val="00625273"/>
    <w:rPr>
      <w:color w:val="0000FF" w:themeColor="hyperlink"/>
      <w:u w:val="single"/>
    </w:rPr>
  </w:style>
  <w:style w:type="character" w:customStyle="1" w:styleId="BodycopyChar">
    <w:name w:val="Body copy Char"/>
    <w:link w:val="Bodycopy"/>
    <w:locked/>
    <w:rsid w:val="00416A72"/>
    <w:rPr>
      <w:rFonts w:ascii="Franklin Gothic Book" w:hAnsi="Franklin Gothic Book"/>
      <w:color w:val="000000"/>
      <w:sz w:val="18"/>
      <w:szCs w:val="18"/>
    </w:rPr>
  </w:style>
  <w:style w:type="paragraph" w:customStyle="1" w:styleId="Bodycopy">
    <w:name w:val="Body copy"/>
    <w:basedOn w:val="a"/>
    <w:link w:val="BodycopyChar"/>
    <w:qFormat/>
    <w:rsid w:val="00416A72"/>
    <w:pPr>
      <w:overflowPunct/>
      <w:autoSpaceDE/>
      <w:autoSpaceDN/>
      <w:adjustRightInd/>
      <w:textAlignment w:val="auto"/>
    </w:pPr>
    <w:rPr>
      <w:rFonts w:ascii="Franklin Gothic Book" w:eastAsiaTheme="minorHAnsi" w:hAnsi="Franklin Gothic Book" w:cstheme="minorBid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brd.com/news/publications/policies/procurement-policies-and-rule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kmek@ukr.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70D773DF-59BD-4FCB-A523-80890A0859F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3887</Words>
  <Characters>2217</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EBRD</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moldakhn</dc:creator>
  <cp:keywords>[EBRD/OFFICIAL USE]</cp:keywords>
  <cp:lastModifiedBy>Vadym</cp:lastModifiedBy>
  <cp:revision>2</cp:revision>
  <dcterms:created xsi:type="dcterms:W3CDTF">2019-11-11T07:26:00Z</dcterms:created>
  <dcterms:modified xsi:type="dcterms:W3CDTF">2019-11-11T07:26:00Z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3ea0b731-9bbe-4a68-92e8-1f04f542a70c</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KvB5EI+eNMo6t8N7W1LAIHc1hRzgnyaD</vt:lpwstr>
  </property>
</Properties>
</file>