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D9" w:rsidRDefault="00F85FD9" w:rsidP="006A4139">
      <w:pPr>
        <w:spacing w:before="12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</w:p>
    <w:p w:rsidR="006A4139" w:rsidRDefault="00F85FD9" w:rsidP="006A4139">
      <w:pPr>
        <w:spacing w:before="12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діяльність комунального підприємства «Спеціалізований комбінат ритуальних послуг» за 2019 рік</w:t>
      </w:r>
    </w:p>
    <w:p w:rsidR="006A4139" w:rsidRPr="00C972BE" w:rsidRDefault="006A4139" w:rsidP="006A4139">
      <w:pPr>
        <w:spacing w:before="120" w:line="276" w:lineRule="auto"/>
        <w:jc w:val="center"/>
        <w:rPr>
          <w:b/>
          <w:szCs w:val="28"/>
          <w:lang w:val="uk-UA"/>
        </w:rPr>
      </w:pPr>
      <w:bookmarkStart w:id="0" w:name="_GoBack"/>
      <w:bookmarkEnd w:id="0"/>
    </w:p>
    <w:p w:rsidR="006A4139" w:rsidRPr="006A4139" w:rsidRDefault="006A4139" w:rsidP="006A4139">
      <w:pPr>
        <w:spacing w:before="120" w:line="276" w:lineRule="auto"/>
        <w:ind w:left="710"/>
        <w:rPr>
          <w:b/>
          <w:lang w:val="uk-UA"/>
        </w:rPr>
      </w:pPr>
      <w:r w:rsidRPr="006A4139">
        <w:rPr>
          <w:b/>
          <w:lang w:val="uk-UA"/>
        </w:rPr>
        <w:t xml:space="preserve">Загальні відомості </w:t>
      </w:r>
    </w:p>
    <w:p w:rsidR="006A4139" w:rsidRPr="006A4139" w:rsidRDefault="006A4139" w:rsidP="006A4139">
      <w:pPr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 xml:space="preserve">Комунальне підприємство «Спеціалізований комбінат ритуальних послуг»  засноване у травні 1969 року. Основним завданням  КП «СКРП» є здійснення організації поховань померлих і надання  ритуальних послуг, з метою найбільш повного задоволення потреб населення в ритуальних послугах, утримання в належному естетичному та санаторному стані  18 міських кладовищ. </w:t>
      </w:r>
    </w:p>
    <w:p w:rsidR="006A4139" w:rsidRPr="006A4139" w:rsidRDefault="006A4139" w:rsidP="006A4139">
      <w:pPr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>На балансі підприємства знаходяться 18 міських кладовищ, площею 99,9 га, два з яких діючі. Силами підприємства з початку його заснування, міські кладовищі утримуються в належному естетичному та санаторному стані, розширюються діючі кладовища, видаляються аварійні дерева, підтримується  в належному стані  об’єкти благоустрою та проводиться поточний ремонт 6 братських могил, могили героїв Радянського Союзу, Воїнів – Інтернаціоналістів, могили почесних громадян, надгробків та пам’ятників – 35 одиниць, які розташовані на міських кладовищах.</w:t>
      </w:r>
    </w:p>
    <w:p w:rsidR="006A4139" w:rsidRPr="006A4139" w:rsidRDefault="006A4139" w:rsidP="006A4139">
      <w:pPr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>Чисельність працівників в цілому по підприємству складає 87 чоловік (з них: керівники, фахівці та спеціалісти - 15 чоловік, робітники на міських кладовищах – 25 чоловік. Автомобільна дільниця – 13 чоловік, дільниця з перевезення  тіл померлих до моргу – 13 чоловік, виробнича дільниця – 15 чоловік  та інші – 6 чоловік). Середня заробітна плата за 2019 рік по підприємству склала 9203грн., за 2018 рік 8156 грн. (середня зарплата прибиральника кладовищ 5927грн)</w:t>
      </w:r>
    </w:p>
    <w:p w:rsidR="006A4139" w:rsidRPr="006A4139" w:rsidRDefault="006A4139" w:rsidP="006A4139">
      <w:pPr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>На підприємстві обліковується 22 одиниці транспортних засобів (2 екскаватори, 5 тракторів, 2 вантажні автомобіля, 3 легкових та 10 катафалків), також в наявності обладнання необхідне для роботи підприємства.</w:t>
      </w:r>
    </w:p>
    <w:p w:rsidR="006A4139" w:rsidRPr="006A4139" w:rsidRDefault="006A4139" w:rsidP="006A4139">
      <w:pPr>
        <w:spacing w:line="276" w:lineRule="auto"/>
        <w:ind w:firstLine="851"/>
        <w:jc w:val="both"/>
        <w:rPr>
          <w:lang w:val="uk-UA"/>
        </w:rPr>
      </w:pPr>
    </w:p>
    <w:p w:rsidR="006A4139" w:rsidRPr="006A4139" w:rsidRDefault="006A4139" w:rsidP="006A4139">
      <w:pPr>
        <w:numPr>
          <w:ilvl w:val="0"/>
          <w:numId w:val="1"/>
        </w:numPr>
        <w:spacing w:before="120" w:line="276" w:lineRule="auto"/>
        <w:rPr>
          <w:b/>
          <w:u w:val="single"/>
          <w:lang w:val="uk-UA"/>
        </w:rPr>
      </w:pPr>
      <w:r w:rsidRPr="006A4139">
        <w:rPr>
          <w:b/>
          <w:lang w:val="uk-UA"/>
        </w:rPr>
        <w:t>Формування дохідної частини фінансового плану</w:t>
      </w:r>
      <w:r w:rsidRPr="00F85FD9">
        <w:rPr>
          <w:b/>
          <w:lang w:val="uk-UA"/>
        </w:rPr>
        <w:t>.</w:t>
      </w:r>
    </w:p>
    <w:p w:rsidR="006A4139" w:rsidRPr="006A4139" w:rsidRDefault="006A4139" w:rsidP="006A4139">
      <w:pPr>
        <w:shd w:val="clear" w:color="auto" w:fill="FFFFFF"/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>Дохідна частина фінансового плану складається від реалізації продукції ритуальної належності, надання послуг з організації поховань та продажу товарів (похоронних атрибутів). Послуги з о</w:t>
      </w:r>
      <w:r w:rsidRPr="006A4139">
        <w:rPr>
          <w:color w:val="000000"/>
        </w:rPr>
        <w:t>рганізаці</w:t>
      </w:r>
      <w:r w:rsidRPr="006A4139">
        <w:rPr>
          <w:color w:val="000000"/>
          <w:lang w:val="uk-UA"/>
        </w:rPr>
        <w:t>ї</w:t>
      </w:r>
      <w:r w:rsidR="00F85FD9">
        <w:rPr>
          <w:color w:val="000000"/>
          <w:lang w:val="uk-UA"/>
        </w:rPr>
        <w:t xml:space="preserve"> </w:t>
      </w:r>
      <w:r w:rsidRPr="006A4139">
        <w:rPr>
          <w:color w:val="000000"/>
        </w:rPr>
        <w:t>поховань і надання</w:t>
      </w:r>
      <w:r w:rsidR="00F85FD9">
        <w:rPr>
          <w:color w:val="000000"/>
          <w:lang w:val="uk-UA"/>
        </w:rPr>
        <w:t xml:space="preserve"> </w:t>
      </w:r>
      <w:r w:rsidRPr="006A4139">
        <w:rPr>
          <w:color w:val="000000"/>
        </w:rPr>
        <w:t>суміжних</w:t>
      </w:r>
      <w:r w:rsidR="00F85FD9">
        <w:rPr>
          <w:color w:val="000000"/>
          <w:lang w:val="uk-UA"/>
        </w:rPr>
        <w:t xml:space="preserve"> </w:t>
      </w:r>
      <w:r w:rsidRPr="006A4139">
        <w:rPr>
          <w:color w:val="000000"/>
        </w:rPr>
        <w:t>послуг</w:t>
      </w:r>
      <w:r w:rsidRPr="006A4139">
        <w:rPr>
          <w:color w:val="000000"/>
          <w:lang w:val="uk-UA"/>
        </w:rPr>
        <w:t xml:space="preserve"> мають найбільшу питому вагу у формуванні доходної частини.</w:t>
      </w:r>
      <w:r w:rsidRPr="006A4139">
        <w:rPr>
          <w:lang w:val="uk-UA"/>
        </w:rPr>
        <w:t xml:space="preserve"> Основні послуги, що надаються при організації та проведенні поховання – це автотранспортні послуги ритуального призначення, перевезення тіл померлих до закладів СМЕ, послуги холодильної камери  та копання могил. Тарифи на послуги, та ціни на продукцію та товари переглядаються своєчасно та затверджуються </w:t>
      </w:r>
      <w:r w:rsidR="00F85FD9">
        <w:rPr>
          <w:lang w:val="uk-UA"/>
        </w:rPr>
        <w:t>н</w:t>
      </w:r>
      <w:r w:rsidRPr="006A4139">
        <w:rPr>
          <w:lang w:val="uk-UA"/>
        </w:rPr>
        <w:t>аказами по підприємству, крім послуг, що входять до необхідного мінімального переліку.</w:t>
      </w:r>
    </w:p>
    <w:p w:rsidR="006A4139" w:rsidRPr="006A4139" w:rsidRDefault="006A4139" w:rsidP="006A4139">
      <w:pPr>
        <w:shd w:val="clear" w:color="auto" w:fill="FFFFFF"/>
        <w:spacing w:line="276" w:lineRule="auto"/>
        <w:ind w:firstLine="851"/>
        <w:jc w:val="both"/>
        <w:rPr>
          <w:lang w:val="uk-UA"/>
        </w:rPr>
      </w:pPr>
      <w:r w:rsidRPr="006A4139">
        <w:rPr>
          <w:lang w:val="uk-UA"/>
        </w:rPr>
        <w:t xml:space="preserve"> У відповідності до ст.10 Закону України «Про поховання та похоронну справу» граничні тарифи вартості ритуальних послуг для поховання померлих осіб в м. Кременчук відповідно до Необхідного мінімального переліку окремих видів ритуальних послуг, затвердженого наказом Держжитлокомунгоспу України від 19.11.2003 р. № 193, тарифи на копання могил, оформлення договору замовлення та оформлення свідоцтва про поховання затверджені </w:t>
      </w:r>
      <w:r w:rsidRPr="006A4139">
        <w:rPr>
          <w:u w:val="single"/>
          <w:lang w:val="uk-UA"/>
        </w:rPr>
        <w:t>рішеннями виконкому міської ради від 08.05.2009 р. №327 та № 677 від 03.09.2010</w:t>
      </w:r>
      <w:r w:rsidRPr="006A4139">
        <w:rPr>
          <w:u w:val="single"/>
          <w:lang w:val="en-US"/>
        </w:rPr>
        <w:t> </w:t>
      </w:r>
      <w:r w:rsidRPr="006A4139">
        <w:rPr>
          <w:u w:val="single"/>
          <w:lang w:val="uk-UA"/>
        </w:rPr>
        <w:t>р.</w:t>
      </w:r>
      <w:r w:rsidRPr="006A4139">
        <w:rPr>
          <w:lang w:val="uk-UA"/>
        </w:rPr>
        <w:t xml:space="preserve">, які діють на даний час. При розрахунках граничних тарифів на вказані послуги закладені ціни станом на 23.03.2009 р та 03.09.2010 року. 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lastRenderedPageBreak/>
        <w:t>Згідно</w:t>
      </w:r>
      <w:r w:rsidR="00F85FD9">
        <w:t xml:space="preserve"> </w:t>
      </w:r>
      <w:r w:rsidRPr="006A4139">
        <w:t>Звітності Форма № 1 – похоронна справа</w:t>
      </w:r>
      <w:r w:rsidR="00F85FD9">
        <w:rPr>
          <w:lang w:val="uk-UA"/>
        </w:rPr>
        <w:t>:</w:t>
      </w:r>
      <w:r w:rsidRPr="006A4139">
        <w:t xml:space="preserve"> 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t>за 2017 рік КП «СКРП» всього</w:t>
      </w:r>
      <w:r w:rsidR="00F85FD9">
        <w:rPr>
          <w:lang w:val="uk-UA"/>
        </w:rPr>
        <w:t xml:space="preserve"> </w:t>
      </w:r>
      <w:r w:rsidRPr="006A4139">
        <w:t>поховано 2 526 померлих</w:t>
      </w:r>
      <w:r w:rsidR="00F85FD9">
        <w:rPr>
          <w:lang w:val="uk-UA"/>
        </w:rPr>
        <w:t xml:space="preserve"> </w:t>
      </w:r>
      <w:r w:rsidRPr="006A4139">
        <w:t>осіб, середня</w:t>
      </w:r>
      <w:r w:rsidR="00F85FD9">
        <w:rPr>
          <w:lang w:val="uk-UA"/>
        </w:rPr>
        <w:t xml:space="preserve"> </w:t>
      </w:r>
      <w:r w:rsidRPr="006A4139">
        <w:t xml:space="preserve">вартість одного поховання становила 3 443,2 грн, 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t>за 2018 рік КП «СКРП» всього</w:t>
      </w:r>
      <w:r w:rsidR="00F85FD9">
        <w:rPr>
          <w:lang w:val="uk-UA"/>
        </w:rPr>
        <w:t xml:space="preserve"> </w:t>
      </w:r>
      <w:r w:rsidRPr="006A4139">
        <w:t>поховано 2 487 померлих</w:t>
      </w:r>
      <w:r w:rsidR="00F85FD9">
        <w:rPr>
          <w:lang w:val="uk-UA"/>
        </w:rPr>
        <w:t xml:space="preserve"> </w:t>
      </w:r>
      <w:r w:rsidRPr="006A4139">
        <w:t>осіб, середня</w:t>
      </w:r>
      <w:r w:rsidR="00F85FD9">
        <w:rPr>
          <w:lang w:val="uk-UA"/>
        </w:rPr>
        <w:t xml:space="preserve"> </w:t>
      </w:r>
      <w:r w:rsidRPr="006A4139">
        <w:t>вартість одного поховання становила 4 950,43 грн,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t xml:space="preserve"> за 2019  рік КП «СКРП» всього</w:t>
      </w:r>
      <w:r w:rsidR="00F85FD9">
        <w:rPr>
          <w:lang w:val="uk-UA"/>
        </w:rPr>
        <w:t xml:space="preserve"> </w:t>
      </w:r>
      <w:r w:rsidRPr="006A4139">
        <w:t>поховано 2 505 померлих</w:t>
      </w:r>
      <w:r w:rsidR="00F85FD9">
        <w:t xml:space="preserve"> </w:t>
      </w:r>
      <w:r w:rsidRPr="006A4139">
        <w:t>осіб, середня</w:t>
      </w:r>
      <w:r w:rsidR="00F85FD9">
        <w:t xml:space="preserve"> </w:t>
      </w:r>
      <w:r w:rsidRPr="006A4139">
        <w:t>вартість одного поховання становила 5 176,</w:t>
      </w:r>
      <w:r w:rsidR="00F85FD9">
        <w:t>94 грн</w:t>
      </w:r>
      <w:r w:rsidRPr="006A4139">
        <w:t>.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F85FD9">
        <w:rPr>
          <w:lang w:val="uk-UA"/>
        </w:rPr>
        <w:t>Кількість</w:t>
      </w:r>
      <w:r w:rsidR="00F85FD9">
        <w:rPr>
          <w:lang w:val="uk-UA"/>
        </w:rPr>
        <w:t xml:space="preserve"> </w:t>
      </w:r>
      <w:r w:rsidRPr="00F85FD9">
        <w:rPr>
          <w:lang w:val="uk-UA"/>
        </w:rPr>
        <w:t>окремих</w:t>
      </w:r>
      <w:r w:rsidR="00F85FD9">
        <w:rPr>
          <w:lang w:val="uk-UA"/>
        </w:rPr>
        <w:t xml:space="preserve"> </w:t>
      </w:r>
      <w:r w:rsidRPr="00F85FD9">
        <w:rPr>
          <w:lang w:val="uk-UA"/>
        </w:rPr>
        <w:t>підприємців, які</w:t>
      </w:r>
      <w:r w:rsidR="00F85FD9">
        <w:rPr>
          <w:lang w:val="uk-UA"/>
        </w:rPr>
        <w:t xml:space="preserve"> </w:t>
      </w:r>
      <w:r w:rsidRPr="00F85FD9">
        <w:rPr>
          <w:lang w:val="uk-UA"/>
        </w:rPr>
        <w:t>надають</w:t>
      </w:r>
      <w:r w:rsidR="00F85FD9">
        <w:rPr>
          <w:lang w:val="uk-UA"/>
        </w:rPr>
        <w:t xml:space="preserve"> </w:t>
      </w:r>
      <w:r w:rsidRPr="00F85FD9">
        <w:rPr>
          <w:lang w:val="uk-UA"/>
        </w:rPr>
        <w:t>ритуальні</w:t>
      </w:r>
      <w:r w:rsidR="00F85FD9">
        <w:rPr>
          <w:lang w:val="uk-UA"/>
        </w:rPr>
        <w:t xml:space="preserve"> </w:t>
      </w:r>
      <w:r w:rsidRPr="00F85FD9">
        <w:rPr>
          <w:lang w:val="uk-UA"/>
        </w:rPr>
        <w:t>послуги на договірних засадах з КП «СКРП» - 10</w:t>
      </w:r>
      <w:r w:rsidR="00F85FD9">
        <w:rPr>
          <w:lang w:val="uk-UA"/>
        </w:rPr>
        <w:t>.</w:t>
      </w:r>
    </w:p>
    <w:p w:rsidR="006A4139" w:rsidRPr="006A4139" w:rsidRDefault="006A4139" w:rsidP="006A4139">
      <w:pPr>
        <w:spacing w:after="40" w:line="276" w:lineRule="auto"/>
        <w:jc w:val="center"/>
        <w:rPr>
          <w:color w:val="000000"/>
          <w:lang w:val="uk-UA"/>
        </w:rPr>
      </w:pPr>
      <w:r w:rsidRPr="006A4139">
        <w:rPr>
          <w:lang w:val="uk-UA"/>
        </w:rPr>
        <w:t xml:space="preserve">Дані про планові і фактичні доходи </w:t>
      </w:r>
      <w:r w:rsidRPr="006A4139">
        <w:rPr>
          <w:color w:val="000000"/>
          <w:lang w:val="uk-UA"/>
        </w:rPr>
        <w:t>КП «СКРП» за 2019 рік</w:t>
      </w:r>
    </w:p>
    <w:tbl>
      <w:tblPr>
        <w:tblW w:w="9792" w:type="dxa"/>
        <w:tblInd w:w="97" w:type="dxa"/>
        <w:tblLayout w:type="fixed"/>
        <w:tblLook w:val="04A0"/>
      </w:tblPr>
      <w:tblGrid>
        <w:gridCol w:w="4831"/>
        <w:gridCol w:w="1276"/>
        <w:gridCol w:w="1417"/>
        <w:gridCol w:w="1276"/>
        <w:gridCol w:w="992"/>
      </w:tblGrid>
      <w:tr w:rsidR="006A4139" w:rsidRPr="006A4139" w:rsidTr="002D197A">
        <w:trPr>
          <w:trHeight w:val="201"/>
        </w:trPr>
        <w:tc>
          <w:tcPr>
            <w:tcW w:w="4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Найменуванняпоказника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</w:rPr>
              <w:t>20</w:t>
            </w:r>
            <w:r w:rsidRPr="006A4139">
              <w:rPr>
                <w:color w:val="000000"/>
                <w:lang w:val="uk-UA"/>
              </w:rPr>
              <w:t>19 рік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Виконання плану</w:t>
            </w:r>
          </w:p>
        </w:tc>
      </w:tr>
      <w:tr w:rsidR="006A4139" w:rsidRPr="006A4139" w:rsidTr="002D197A">
        <w:trPr>
          <w:trHeight w:val="149"/>
        </w:trPr>
        <w:tc>
          <w:tcPr>
            <w:tcW w:w="48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Абс.велич.</w:t>
            </w:r>
          </w:p>
        </w:tc>
      </w:tr>
      <w:tr w:rsidR="006A4139" w:rsidRPr="006A4139" w:rsidTr="002D197A">
        <w:trPr>
          <w:trHeight w:val="149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6A4139" w:rsidRPr="006A4139" w:rsidTr="002D197A">
        <w:trPr>
          <w:trHeight w:val="395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  <w:lang w:val="uk-UA"/>
              </w:rPr>
            </w:pPr>
            <w:r w:rsidRPr="006A4139">
              <w:rPr>
                <w:color w:val="000000"/>
              </w:rPr>
              <w:t>Чистий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дохід (виручка) від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реалізації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 xml:space="preserve">продукції (товарів, робіт, послуг), </w:t>
            </w:r>
          </w:p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6A4139">
              <w:rPr>
                <w:b/>
                <w:color w:val="000000"/>
                <w:lang w:val="uk-UA"/>
              </w:rPr>
              <w:t>17343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6A4139">
              <w:rPr>
                <w:b/>
                <w:color w:val="000000"/>
                <w:lang w:val="uk-UA"/>
              </w:rPr>
              <w:t>20048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2705</w:t>
            </w:r>
          </w:p>
        </w:tc>
      </w:tr>
      <w:tr w:rsidR="006A4139" w:rsidRPr="006A4139" w:rsidTr="002D197A">
        <w:trPr>
          <w:trHeight w:val="306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F85FD9">
            <w:pPr>
              <w:spacing w:line="276" w:lineRule="auto"/>
              <w:ind w:firstLineChars="200" w:firstLine="480"/>
              <w:rPr>
                <w:color w:val="000000"/>
                <w:lang w:val="uk-UA"/>
              </w:rPr>
            </w:pPr>
            <w:r w:rsidRPr="006A4139">
              <w:rPr>
                <w:color w:val="000000"/>
              </w:rPr>
              <w:t>Організація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поховань і надання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суміжних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послуг</w:t>
            </w:r>
          </w:p>
          <w:p w:rsidR="006A4139" w:rsidRPr="006A4139" w:rsidRDefault="006A4139" w:rsidP="00F85FD9">
            <w:pPr>
              <w:spacing w:line="276" w:lineRule="auto"/>
              <w:ind w:firstLineChars="200" w:firstLine="480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В т.ч. реалізація готової продукції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13355</w:t>
            </w:r>
          </w:p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16796</w:t>
            </w:r>
          </w:p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125,8</w:t>
            </w:r>
          </w:p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3441</w:t>
            </w:r>
          </w:p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6A4139" w:rsidRPr="006A4139" w:rsidTr="002D197A">
        <w:trPr>
          <w:trHeight w:val="395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F85FD9">
            <w:pPr>
              <w:spacing w:line="276" w:lineRule="auto"/>
              <w:ind w:firstLineChars="200" w:firstLine="480"/>
              <w:rPr>
                <w:color w:val="000000"/>
              </w:rPr>
            </w:pPr>
            <w:r w:rsidRPr="006A4139">
              <w:rPr>
                <w:color w:val="000000"/>
              </w:rPr>
              <w:t>Роздрібна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торгівля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іншими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 xml:space="preserve">невживаними товарами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-736</w:t>
            </w:r>
          </w:p>
        </w:tc>
      </w:tr>
      <w:tr w:rsidR="006A4139" w:rsidRPr="006A4139" w:rsidTr="002D197A">
        <w:trPr>
          <w:trHeight w:val="395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Cs/>
                <w:color w:val="000000"/>
              </w:rPr>
            </w:pPr>
            <w:r w:rsidRPr="006A4139">
              <w:rPr>
                <w:bCs/>
                <w:color w:val="000000"/>
              </w:rPr>
              <w:t>Інші</w:t>
            </w:r>
            <w:r w:rsidR="00F85FD9">
              <w:rPr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Cs/>
                <w:color w:val="000000"/>
              </w:rPr>
              <w:t>операційні доходи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A4139">
              <w:rPr>
                <w:bCs/>
                <w:color w:val="000000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A4139">
              <w:rPr>
                <w:bCs/>
                <w:color w:val="000000"/>
                <w:lang w:val="uk-UA"/>
              </w:rPr>
              <w:t>12</w:t>
            </w:r>
          </w:p>
        </w:tc>
      </w:tr>
      <w:tr w:rsidR="006A4139" w:rsidRPr="006A4139" w:rsidTr="002D197A">
        <w:trPr>
          <w:trHeight w:val="172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Cs/>
                <w:color w:val="000000"/>
              </w:rPr>
            </w:pPr>
            <w:r w:rsidRPr="006A4139">
              <w:rPr>
                <w:bCs/>
                <w:color w:val="000000"/>
              </w:rPr>
              <w:t>Інші доходи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A4139">
              <w:rPr>
                <w:bCs/>
                <w:color w:val="000000"/>
                <w:lang w:val="uk-UA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A4139">
              <w:rPr>
                <w:bCs/>
                <w:color w:val="000000"/>
                <w:lang w:val="uk-UA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6A4139">
              <w:rPr>
                <w:bCs/>
                <w:color w:val="000000"/>
                <w:lang w:val="uk-UA"/>
              </w:rPr>
              <w:t>104</w:t>
            </w:r>
          </w:p>
        </w:tc>
      </w:tr>
      <w:tr w:rsidR="006A4139" w:rsidRPr="006A4139" w:rsidTr="002D197A">
        <w:trPr>
          <w:trHeight w:val="186"/>
        </w:trPr>
        <w:tc>
          <w:tcPr>
            <w:tcW w:w="4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Всього</w:t>
            </w:r>
            <w:r w:rsidR="00F85FD9">
              <w:rPr>
                <w:b/>
                <w:bCs/>
                <w:color w:val="000000"/>
                <w:lang w:val="uk-UA"/>
              </w:rPr>
              <w:t xml:space="preserve">  </w:t>
            </w:r>
            <w:r w:rsidRPr="006A4139">
              <w:rPr>
                <w:b/>
                <w:bCs/>
                <w:color w:val="000000"/>
              </w:rPr>
              <w:t>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17445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2821</w:t>
            </w:r>
          </w:p>
        </w:tc>
      </w:tr>
    </w:tbl>
    <w:p w:rsidR="006A4139" w:rsidRPr="006A4139" w:rsidRDefault="006A4139" w:rsidP="006A4139">
      <w:pPr>
        <w:spacing w:before="60" w:line="276" w:lineRule="auto"/>
        <w:ind w:firstLine="709"/>
        <w:jc w:val="both"/>
        <w:rPr>
          <w:lang w:val="uk-UA"/>
        </w:rPr>
      </w:pPr>
    </w:p>
    <w:p w:rsidR="006A4139" w:rsidRPr="006A4139" w:rsidRDefault="006A4139" w:rsidP="006A4139">
      <w:pPr>
        <w:spacing w:line="276" w:lineRule="auto"/>
        <w:ind w:firstLine="709"/>
        <w:jc w:val="both"/>
        <w:rPr>
          <w:b/>
          <w:lang w:val="uk-UA"/>
        </w:rPr>
      </w:pPr>
      <w:r w:rsidRPr="006A4139">
        <w:rPr>
          <w:b/>
          <w:lang w:val="uk-UA"/>
        </w:rPr>
        <w:t>Витрати підприємства:</w:t>
      </w:r>
    </w:p>
    <w:p w:rsidR="006A4139" w:rsidRPr="006A4139" w:rsidRDefault="006A4139" w:rsidP="006A4139">
      <w:pPr>
        <w:spacing w:after="40" w:line="276" w:lineRule="auto"/>
        <w:ind w:right="114"/>
        <w:jc w:val="center"/>
        <w:rPr>
          <w:color w:val="000000"/>
          <w:lang w:val="uk-UA"/>
        </w:rPr>
      </w:pPr>
      <w:r w:rsidRPr="006A4139">
        <w:rPr>
          <w:color w:val="000000"/>
          <w:lang w:val="uk-UA"/>
        </w:rPr>
        <w:t>Тис.грн.</w:t>
      </w:r>
    </w:p>
    <w:tbl>
      <w:tblPr>
        <w:tblW w:w="8856" w:type="dxa"/>
        <w:tblInd w:w="97" w:type="dxa"/>
        <w:tblLook w:val="04A0"/>
      </w:tblPr>
      <w:tblGrid>
        <w:gridCol w:w="3902"/>
        <w:gridCol w:w="1184"/>
        <w:gridCol w:w="1312"/>
        <w:gridCol w:w="876"/>
        <w:gridCol w:w="1582"/>
      </w:tblGrid>
      <w:tr w:rsidR="006A4139" w:rsidRPr="006A4139" w:rsidTr="002D197A">
        <w:trPr>
          <w:trHeight w:val="201"/>
        </w:trPr>
        <w:tc>
          <w:tcPr>
            <w:tcW w:w="4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Найменування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показника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</w:rPr>
              <w:t>20</w:t>
            </w:r>
            <w:r w:rsidRPr="006A4139">
              <w:rPr>
                <w:color w:val="000000"/>
                <w:lang w:val="uk-UA"/>
              </w:rPr>
              <w:t>19 рік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Виконання плану</w:t>
            </w:r>
          </w:p>
        </w:tc>
      </w:tr>
      <w:tr w:rsidR="006A4139" w:rsidRPr="006A4139" w:rsidTr="002D197A">
        <w:trPr>
          <w:trHeight w:val="149"/>
        </w:trPr>
        <w:tc>
          <w:tcPr>
            <w:tcW w:w="4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План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Факт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 xml:space="preserve">Абс.велич. </w:t>
            </w:r>
          </w:p>
        </w:tc>
      </w:tr>
      <w:tr w:rsidR="006A4139" w:rsidRPr="006A4139" w:rsidTr="002D197A">
        <w:trPr>
          <w:trHeight w:val="3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Собівартість, з них: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14765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17532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118,7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2767</w:t>
            </w:r>
          </w:p>
        </w:tc>
      </w:tr>
      <w:tr w:rsidR="006A4139" w:rsidRPr="006A4139" w:rsidTr="002D197A">
        <w:trPr>
          <w:trHeight w:val="179"/>
        </w:trPr>
        <w:tc>
          <w:tcPr>
            <w:tcW w:w="4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 на сировину і матеріали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2951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3884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131,6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933</w:t>
            </w:r>
          </w:p>
        </w:tc>
      </w:tr>
      <w:tr w:rsidR="006A4139" w:rsidRPr="006A4139" w:rsidTr="002D197A">
        <w:trPr>
          <w:trHeight w:val="163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 на паливо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913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90,6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-95</w:t>
            </w:r>
          </w:p>
        </w:tc>
      </w:tr>
      <w:tr w:rsidR="006A4139" w:rsidRPr="006A4139" w:rsidTr="002D197A">
        <w:trPr>
          <w:trHeight w:val="209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 на оплату праці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7203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7632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429</w:t>
            </w:r>
          </w:p>
        </w:tc>
      </w:tr>
      <w:tr w:rsidR="006A4139" w:rsidRPr="006A4139" w:rsidTr="002D197A">
        <w:trPr>
          <w:trHeight w:val="127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Відрахування на соціальний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захист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1585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60</w:t>
            </w:r>
          </w:p>
        </w:tc>
      </w:tr>
      <w:tr w:rsidR="006A4139" w:rsidRPr="006A4139" w:rsidTr="002D197A">
        <w:trPr>
          <w:trHeight w:val="187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Амортизація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-23</w:t>
            </w:r>
          </w:p>
        </w:tc>
      </w:tr>
      <w:tr w:rsidR="006A4139" w:rsidRPr="006A4139" w:rsidTr="002D197A">
        <w:trPr>
          <w:trHeight w:val="172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Інші</w:t>
            </w:r>
            <w:r w:rsidR="00F85FD9">
              <w:rPr>
                <w:b/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/>
                <w:bCs/>
                <w:color w:val="000000"/>
              </w:rPr>
              <w:t>витрати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1762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3225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183,0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1463</w:t>
            </w:r>
          </w:p>
        </w:tc>
      </w:tr>
      <w:tr w:rsidR="006A4139" w:rsidRPr="006A4139" w:rsidTr="002D197A">
        <w:trPr>
          <w:trHeight w:val="172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МБП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515,0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83</w:t>
            </w:r>
          </w:p>
        </w:tc>
      </w:tr>
      <w:tr w:rsidR="006A4139" w:rsidRPr="006A4139" w:rsidTr="002D197A">
        <w:trPr>
          <w:trHeight w:val="172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Запчастини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288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14</w:t>
            </w:r>
          </w:p>
        </w:tc>
      </w:tr>
      <w:tr w:rsidR="006A4139" w:rsidRPr="006A4139" w:rsidTr="002D197A">
        <w:trPr>
          <w:trHeight w:val="27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Послуги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сторонніх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організацій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1388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190,9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1262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Інші</w:t>
            </w:r>
            <w:r w:rsidR="00F85FD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витрати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257,6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104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Адміністративні</w:t>
            </w:r>
            <w:r w:rsidR="00F85FD9">
              <w:rPr>
                <w:b/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/>
                <w:bCs/>
                <w:color w:val="000000"/>
              </w:rPr>
              <w:t>витрати</w:t>
            </w:r>
            <w:r w:rsidRPr="006A4139">
              <w:rPr>
                <w:color w:val="000000"/>
              </w:rPr>
              <w:t>, в тому числі: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2413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123,4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564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lastRenderedPageBreak/>
              <w:t>Заробітна плата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1609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1955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121,5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346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Нарахування на заробітну плату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414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116,9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60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Амортизація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-3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 на  матеріали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60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Інші</w:t>
            </w:r>
            <w:r w:rsidR="004744B9">
              <w:rPr>
                <w:b/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/>
                <w:bCs/>
                <w:color w:val="000000"/>
              </w:rPr>
              <w:t>витрати</w:t>
            </w:r>
            <w:r w:rsidRPr="006A4139">
              <w:rPr>
                <w:color w:val="000000"/>
              </w:rPr>
              <w:t>, в тому числі: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545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122,7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101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Податки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-1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Витрати, пов'язані з використанням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власних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службових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автомобілів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138,9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44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Послуги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сторонніх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організацій (утримання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оргтехнки,  ремонт авто,  періодичн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івидання та інші)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122,8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68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Інші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витрати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67,7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-10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Витрати на збут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111,0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16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Витрати на оплату праці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119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110,9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13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</w:rPr>
            </w:pPr>
            <w:r w:rsidRPr="006A4139">
              <w:rPr>
                <w:color w:val="000000"/>
              </w:rPr>
              <w:t>Відрахування на соціальний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захист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111,5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Інші</w:t>
            </w:r>
            <w:r w:rsidR="004744B9">
              <w:rPr>
                <w:b/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/>
                <w:bCs/>
                <w:color w:val="000000"/>
              </w:rPr>
              <w:t>операційні</w:t>
            </w:r>
            <w:r w:rsidR="004744B9">
              <w:rPr>
                <w:b/>
                <w:bCs/>
                <w:color w:val="000000"/>
                <w:lang w:val="uk-UA"/>
              </w:rPr>
              <w:t xml:space="preserve"> </w:t>
            </w:r>
            <w:r w:rsidRPr="006A4139">
              <w:rPr>
                <w:b/>
                <w:bCs/>
                <w:color w:val="000000"/>
              </w:rPr>
              <w:t>витрати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</w:rPr>
              <w:t>128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365,7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93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color w:val="000000"/>
                <w:lang w:val="uk-UA"/>
              </w:rPr>
            </w:pPr>
            <w:r w:rsidRPr="006A4139">
              <w:rPr>
                <w:color w:val="000000"/>
              </w:rPr>
              <w:t>Собівартість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</w:rPr>
              <w:t>реалізованих</w:t>
            </w:r>
            <w:r w:rsidR="004744B9">
              <w:rPr>
                <w:color w:val="000000"/>
                <w:lang w:val="uk-UA"/>
              </w:rPr>
              <w:t xml:space="preserve"> </w:t>
            </w:r>
            <w:r w:rsidRPr="006A4139">
              <w:rPr>
                <w:color w:val="000000"/>
                <w:lang w:val="uk-UA"/>
              </w:rPr>
              <w:t>товарів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128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365,7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93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Податок на прибуток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  <w:lang w:val="uk-UA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</w:rPr>
            </w:pPr>
            <w:r w:rsidRPr="006A4139">
              <w:rPr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A4139">
              <w:rPr>
                <w:color w:val="000000"/>
                <w:lang w:val="uk-UA"/>
              </w:rPr>
              <w:t>-70</w:t>
            </w:r>
          </w:p>
        </w:tc>
      </w:tr>
      <w:tr w:rsidR="006A4139" w:rsidRPr="006A4139" w:rsidTr="002D197A">
        <w:trPr>
          <w:trHeight w:val="18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139" w:rsidRPr="006A4139" w:rsidRDefault="006A4139" w:rsidP="002D197A">
            <w:pPr>
              <w:spacing w:line="276" w:lineRule="auto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</w:rPr>
              <w:t>ВИТРАТИ всього: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17428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20798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119,3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139" w:rsidRPr="006A4139" w:rsidRDefault="006A4139" w:rsidP="002D197A">
            <w:pPr>
              <w:spacing w:line="276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6A4139">
              <w:rPr>
                <w:b/>
                <w:bCs/>
                <w:color w:val="000000"/>
                <w:lang w:val="uk-UA"/>
              </w:rPr>
              <w:t>3370</w:t>
            </w:r>
          </w:p>
        </w:tc>
      </w:tr>
    </w:tbl>
    <w:p w:rsidR="006A4139" w:rsidRPr="006A4139" w:rsidRDefault="006A4139" w:rsidP="006A4139">
      <w:pPr>
        <w:spacing w:line="276" w:lineRule="auto"/>
        <w:ind w:left="714"/>
        <w:jc w:val="both"/>
        <w:rPr>
          <w:lang w:val="uk-UA"/>
        </w:rPr>
      </w:pPr>
    </w:p>
    <w:p w:rsidR="006A4139" w:rsidRPr="006A4139" w:rsidRDefault="006A4139" w:rsidP="006A4139">
      <w:pPr>
        <w:jc w:val="both"/>
        <w:rPr>
          <w:lang w:val="uk-UA"/>
        </w:rPr>
      </w:pPr>
      <w:r w:rsidRPr="006A4139">
        <w:rPr>
          <w:lang w:val="uk-UA"/>
        </w:rPr>
        <w:t>Структура собівартості реалізованих ритуальних послуг:</w:t>
      </w:r>
    </w:p>
    <w:p w:rsidR="006A4139" w:rsidRPr="006A4139" w:rsidRDefault="006A4139" w:rsidP="006A413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6A4139">
        <w:rPr>
          <w:lang w:val="uk-UA"/>
        </w:rPr>
        <w:t>витрати на заробітну плату з нарахуваннями:  9277 тис. грн (або 52,9%)</w:t>
      </w:r>
      <w:r w:rsidR="004744B9">
        <w:rPr>
          <w:lang w:val="uk-UA"/>
        </w:rPr>
        <w:t>,</w:t>
      </w:r>
    </w:p>
    <w:p w:rsidR="006A4139" w:rsidRPr="006A4139" w:rsidRDefault="006A4139" w:rsidP="006A413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6A4139">
        <w:rPr>
          <w:lang w:val="uk-UA"/>
        </w:rPr>
        <w:t>витрати на паливо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 xml:space="preserve">– 954 тис. </w:t>
      </w:r>
      <w:r w:rsidR="004744B9">
        <w:rPr>
          <w:lang w:val="uk-UA"/>
        </w:rPr>
        <w:t>грн,</w:t>
      </w:r>
    </w:p>
    <w:p w:rsidR="006A4139" w:rsidRPr="006A4139" w:rsidRDefault="006A4139" w:rsidP="006A413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6A4139">
        <w:rPr>
          <w:lang w:val="uk-UA"/>
        </w:rPr>
        <w:t xml:space="preserve">на запчастини –– 315 тис. грн, </w:t>
      </w:r>
    </w:p>
    <w:p w:rsidR="006A4139" w:rsidRPr="006A4139" w:rsidRDefault="006A4139" w:rsidP="006A4139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6A4139">
        <w:rPr>
          <w:lang w:val="uk-UA"/>
        </w:rPr>
        <w:t>послуги сторонні</w:t>
      </w:r>
      <w:r w:rsidR="004744B9">
        <w:rPr>
          <w:lang w:val="uk-UA"/>
        </w:rPr>
        <w:t>х організацій –– 2650 тис. грн.</w:t>
      </w:r>
    </w:p>
    <w:p w:rsidR="006A4139" w:rsidRPr="006A4139" w:rsidRDefault="006A4139" w:rsidP="006A4139">
      <w:pPr>
        <w:spacing w:line="276" w:lineRule="auto"/>
        <w:jc w:val="both"/>
        <w:rPr>
          <w:b/>
          <w:lang w:val="uk-UA"/>
        </w:rPr>
      </w:pPr>
    </w:p>
    <w:p w:rsidR="006A4139" w:rsidRPr="006A4139" w:rsidRDefault="006A4139" w:rsidP="006A4139">
      <w:pPr>
        <w:spacing w:line="276" w:lineRule="auto"/>
        <w:jc w:val="both"/>
        <w:rPr>
          <w:b/>
          <w:lang w:val="uk-UA"/>
        </w:rPr>
      </w:pPr>
      <w:r w:rsidRPr="006A4139">
        <w:rPr>
          <w:b/>
          <w:lang w:val="uk-UA"/>
        </w:rPr>
        <w:t>Фінансовий результат.</w:t>
      </w:r>
    </w:p>
    <w:p w:rsidR="006A4139" w:rsidRPr="006A4139" w:rsidRDefault="006A4139" w:rsidP="006A4139">
      <w:pPr>
        <w:spacing w:before="40" w:line="276" w:lineRule="auto"/>
        <w:ind w:firstLine="709"/>
        <w:jc w:val="both"/>
        <w:rPr>
          <w:lang w:val="uk-UA"/>
        </w:rPr>
      </w:pPr>
      <w:r w:rsidRPr="006A4139">
        <w:rPr>
          <w:lang w:val="uk-UA"/>
        </w:rPr>
        <w:t>За 2019 рік збитки у розмірі 532,0 тис. грн,  пов’язані: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rPr>
          <w:lang w:val="uk-UA"/>
        </w:rPr>
        <w:t>по-перше</w:t>
      </w:r>
      <w:r w:rsidR="004744B9">
        <w:rPr>
          <w:lang w:val="uk-UA"/>
        </w:rPr>
        <w:t>,</w:t>
      </w:r>
      <w:r w:rsidRPr="006A4139">
        <w:rPr>
          <w:lang w:val="uk-UA"/>
        </w:rPr>
        <w:t xml:space="preserve">  з недофінансуванням  витрат по утриманню кладовищ в повному обсязі.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>На утримання кладовищ виділено на 2019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>р</w:t>
      </w:r>
      <w:r w:rsidR="004744B9">
        <w:rPr>
          <w:lang w:val="uk-UA"/>
        </w:rPr>
        <w:t>ік</w:t>
      </w:r>
      <w:r w:rsidRPr="006A4139">
        <w:rPr>
          <w:lang w:val="uk-UA"/>
        </w:rPr>
        <w:t xml:space="preserve"> 2754 тис.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>грн. Витрачено  3773 тис.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>грн., з них за рахунок власних коштів  підприємства на утримання кладовищ витрачено  1019 тис.</w:t>
      </w:r>
      <w:r w:rsidR="004744B9">
        <w:rPr>
          <w:lang w:val="uk-UA"/>
        </w:rPr>
        <w:t xml:space="preserve"> </w:t>
      </w:r>
      <w:r w:rsidRPr="006A4139">
        <w:rPr>
          <w:lang w:val="uk-UA"/>
        </w:rPr>
        <w:t>грн.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  <w:r w:rsidRPr="006A4139">
        <w:rPr>
          <w:lang w:val="uk-UA"/>
        </w:rPr>
        <w:t>по-друге</w:t>
      </w:r>
      <w:r w:rsidR="004744B9">
        <w:rPr>
          <w:lang w:val="uk-UA"/>
        </w:rPr>
        <w:t>,</w:t>
      </w:r>
      <w:r w:rsidRPr="006A4139">
        <w:rPr>
          <w:lang w:val="uk-UA"/>
        </w:rPr>
        <w:t xml:space="preserve"> через виплату заробітної плати і нарахувань на неї згідно рішення суду у розмірі 245 тис. грн колишньому керівнику підприємства, </w:t>
      </w:r>
    </w:p>
    <w:p w:rsidR="006A4139" w:rsidRPr="006A4139" w:rsidRDefault="006A4139" w:rsidP="006A4139">
      <w:pPr>
        <w:shd w:val="clear" w:color="auto" w:fill="FFFFFF"/>
        <w:spacing w:line="276" w:lineRule="auto"/>
        <w:jc w:val="both"/>
        <w:rPr>
          <w:lang w:val="uk-UA"/>
        </w:rPr>
      </w:pPr>
      <w:r w:rsidRPr="006A4139">
        <w:rPr>
          <w:lang w:val="uk-UA"/>
        </w:rPr>
        <w:t xml:space="preserve">            по-трет</w:t>
      </w:r>
      <w:r>
        <w:rPr>
          <w:lang w:val="uk-UA"/>
        </w:rPr>
        <w:t>є,</w:t>
      </w:r>
      <w:r w:rsidRPr="006A4139">
        <w:rPr>
          <w:lang w:val="uk-UA"/>
        </w:rPr>
        <w:t xml:space="preserve"> через збитковість послуг з копання могил на суму 360 тис.</w:t>
      </w:r>
      <w:r w:rsidR="004744B9">
        <w:rPr>
          <w:lang w:val="uk-UA"/>
        </w:rPr>
        <w:t xml:space="preserve"> грн</w:t>
      </w:r>
      <w:r w:rsidRPr="006A4139">
        <w:rPr>
          <w:lang w:val="uk-UA"/>
        </w:rPr>
        <w:t xml:space="preserve">,  які входять до необхідного мінімального переліку, і тарифи на які затверджені у 2009 та 2010 роках. На цей час затвердженої вартості з копання могил не вистачає на покриття заробітної плати працівників, яка за період з 2009 року збільшилася у 6,3 рази і яку згідно законодавства України підприємство повинно забезпечувати працівникам для підтримання соціальних гарантій. </w:t>
      </w:r>
    </w:p>
    <w:p w:rsidR="006A4139" w:rsidRPr="006A4139" w:rsidRDefault="006A4139" w:rsidP="004744B9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6A4139">
        <w:rPr>
          <w:lang w:val="uk-UA"/>
        </w:rPr>
        <w:t xml:space="preserve">Підприємство на даний час проводить відповідні розрахунки для подання на затвердження до Виконавчого комітету Кременчуцької міської ради, з метою перегляду та підвищення граничних тарифів вартості ритуальних послуг для поховання померлих осіб в м. Кременчук відповідно до Необхідного мінімального переліку окремих видів ритуальних послуг, затвердженого наказом Держжитлокомунгоспу України від 19.11.2003 р. № 193 до економічно обґрунтованого рівня. </w:t>
      </w:r>
    </w:p>
    <w:p w:rsidR="006A4139" w:rsidRPr="006A4139" w:rsidRDefault="006A4139" w:rsidP="006A4139">
      <w:pPr>
        <w:spacing w:line="276" w:lineRule="auto"/>
        <w:ind w:firstLine="709"/>
        <w:jc w:val="both"/>
        <w:rPr>
          <w:lang w:val="uk-UA"/>
        </w:rPr>
      </w:pPr>
    </w:p>
    <w:p w:rsidR="006A4139" w:rsidRPr="006A4139" w:rsidRDefault="006A4139" w:rsidP="006A4139">
      <w:pPr>
        <w:spacing w:line="276" w:lineRule="auto"/>
        <w:ind w:left="839" w:right="845"/>
        <w:jc w:val="center"/>
        <w:rPr>
          <w:u w:val="single"/>
          <w:lang w:val="uk-UA"/>
        </w:rPr>
      </w:pPr>
    </w:p>
    <w:p w:rsidR="006A4139" w:rsidRPr="006A4139" w:rsidRDefault="006A4139" w:rsidP="006A4139">
      <w:pPr>
        <w:spacing w:line="276" w:lineRule="auto"/>
        <w:rPr>
          <w:lang w:val="uk-UA"/>
        </w:rPr>
      </w:pPr>
    </w:p>
    <w:p w:rsidR="00BE118D" w:rsidRPr="006A4139" w:rsidRDefault="00BE118D" w:rsidP="006A4139">
      <w:pPr>
        <w:rPr>
          <w:lang w:val="uk-UA"/>
        </w:rPr>
      </w:pPr>
    </w:p>
    <w:sectPr w:rsidR="00BE118D" w:rsidRPr="006A4139" w:rsidSect="00C972BE">
      <w:footerReference w:type="even" r:id="rId7"/>
      <w:footerReference w:type="default" r:id="rId8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DA" w:rsidRDefault="00770EDA" w:rsidP="00C9094D">
      <w:r>
        <w:separator/>
      </w:r>
    </w:p>
  </w:endnote>
  <w:endnote w:type="continuationSeparator" w:id="1">
    <w:p w:rsidR="00770EDA" w:rsidRDefault="00770EDA" w:rsidP="00C9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56" w:rsidRDefault="00C9094D" w:rsidP="00875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41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E56" w:rsidRDefault="00770EDA" w:rsidP="009064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56" w:rsidRDefault="00C9094D" w:rsidP="00875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41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4B9">
      <w:rPr>
        <w:rStyle w:val="a5"/>
        <w:noProof/>
      </w:rPr>
      <w:t>2</w:t>
    </w:r>
    <w:r>
      <w:rPr>
        <w:rStyle w:val="a5"/>
      </w:rPr>
      <w:fldChar w:fldCharType="end"/>
    </w:r>
  </w:p>
  <w:p w:rsidR="00E17E56" w:rsidRDefault="00770EDA" w:rsidP="009064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DA" w:rsidRDefault="00770EDA" w:rsidP="00C9094D">
      <w:r>
        <w:separator/>
      </w:r>
    </w:p>
  </w:footnote>
  <w:footnote w:type="continuationSeparator" w:id="1">
    <w:p w:rsidR="00770EDA" w:rsidRDefault="00770EDA" w:rsidP="00C90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7910"/>
    <w:multiLevelType w:val="multilevel"/>
    <w:tmpl w:val="644057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39"/>
    <w:rsid w:val="004744B9"/>
    <w:rsid w:val="006A4139"/>
    <w:rsid w:val="00770EDA"/>
    <w:rsid w:val="00BE118D"/>
    <w:rsid w:val="00C9094D"/>
    <w:rsid w:val="00F8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1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1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dcterms:created xsi:type="dcterms:W3CDTF">2020-06-17T12:49:00Z</dcterms:created>
  <dcterms:modified xsi:type="dcterms:W3CDTF">2020-06-18T05:47:00Z</dcterms:modified>
</cp:coreProperties>
</file>