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49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224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послуг перевезення окремих категорій громадян до садово-городніх масивів в весняно-осінній період на 2024 рік існує потреба у закупівлі перевезення окремих категорій громадян до садово-городніх масивів в весняно-осінній період на 2024 рік.</w:t>
      </w:r>
    </w:p>
    <w:p w14:paraId="34AB7B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порталі Prozorro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highlight w:val="none"/>
          <w:lang w:val="uk-UA"/>
        </w:rPr>
        <w:t>.2024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розміщено оголошення про проведення відкритих торгів на закупівлю послуг перевезення окремих категорій               громадян до садово-городніх масивів в весняно-осінній період на 2024 рік       (ДК 021:2015:60140000-1-Нерегулярні пасажирські перевезення).                                                 </w:t>
      </w:r>
    </w:p>
    <w:p w14:paraId="685036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закупівлі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UA-2024-08-27-000569-a</w:t>
      </w:r>
    </w:p>
    <w:p w14:paraId="2757A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Розміру бюджетного призначення складає –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>800 867,76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57908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 складає – </w:t>
      </w:r>
      <w:r>
        <w:rPr>
          <w:rFonts w:hint="default" w:ascii="Times New Roman" w:hAnsi="Times New Roman" w:cs="Times New Roman"/>
          <w:sz w:val="28"/>
          <w:szCs w:val="28"/>
          <w:rtl w:val="0"/>
          <w:lang w:val="uk-UA"/>
        </w:rPr>
        <w:t xml:space="preserve">800 867,76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грн, розрахована у межах затверджених обсягів фінансування на 2024 рік, а також шляхом аналізу ринку відповідних товарів через пошук загальнодоступної інформації в мережі Інтернет, а також в електронній системі закупівель Prozorro. </w:t>
      </w:r>
    </w:p>
    <w:p w14:paraId="08ACD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 предмета закупівлі розроблені відповідно до наявної потреби, задля забезпечення перевезення окремих категорій громадян до садово-городніх масивів в весняно-осінній період на 2024 рік.</w:t>
      </w:r>
    </w:p>
    <w:p w14:paraId="236D6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визначені у додатках до тендерної документації.</w:t>
      </w:r>
    </w:p>
    <w:p w14:paraId="541185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288029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2024-08-27T06:40:32Z</dcterms:created>
  <dc:creator>User</dc:creator>
  <cp:lastModifiedBy>Tetiana Deryd</cp:lastModifiedBy>
  <dcterms:modified xsi:type="dcterms:W3CDTF">2024-08-27T06:40:59Z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703272FC6DA146ED87DBB1FC4A337FC6_12</vt:lpwstr>
  </property>
</Properties>
</file>